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应县</w:t>
      </w:r>
      <w:r>
        <w:rPr>
          <w:rFonts w:hint="eastAsia"/>
          <w:b/>
          <w:bCs/>
          <w:sz w:val="36"/>
          <w:szCs w:val="36"/>
        </w:rPr>
        <w:t>财政局行政执法事项服务指南</w:t>
      </w:r>
    </w:p>
    <w:p>
      <w:pPr>
        <w:ind w:firstLine="2240" w:firstLineChars="7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（执法事项：行政处罚类）</w:t>
      </w:r>
    </w:p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（一）事项类别：</w:t>
      </w:r>
      <w:r>
        <w:rPr>
          <w:rFonts w:hint="eastAsia" w:ascii="仿宋" w:hAnsi="仿宋" w:eastAsia="仿宋" w:cs="仿宋"/>
          <w:sz w:val="28"/>
          <w:szCs w:val="28"/>
        </w:rPr>
        <w:t>行政处罚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（二）依据：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《中华人民共和国行政处罚法》《中华人民共和国预算法》《中华人民共和国行政复议法》《中华人民共和国行政诉讼法》《中华人民共和国政府采购法》《中华人民共和国会计法》《政府采购法实施条例》《中华人民共和国政府采购法实施条例》《山西省会计管理条例》等有关法律、法规及规章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rPr>
          <w:rFonts w:asci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（三）处罚范围：</w:t>
      </w:r>
      <w:r>
        <w:rPr>
          <w:rFonts w:hint="eastAsia" w:ascii="仿宋" w:eastAsia="仿宋"/>
          <w:color w:val="000000"/>
          <w:sz w:val="28"/>
          <w:szCs w:val="28"/>
          <w:shd w:val="clear" w:color="auto" w:fill="FFFFFF"/>
        </w:rPr>
        <w:t>依法开展政府采购、会计管理、账户管理、收入缴库、票据管理等综合监督，查处违法行为。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（四）承办机构：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应县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财政局相关机构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（五）审批机构：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应县</w:t>
      </w:r>
      <w:r>
        <w:rPr>
          <w:rFonts w:hint="eastAsia" w:ascii="仿宋" w:hAnsi="仿宋" w:eastAsia="仿宋" w:cs="仿宋"/>
          <w:sz w:val="28"/>
          <w:szCs w:val="28"/>
        </w:rPr>
        <w:t>财政局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jc w:val="both"/>
        <w:rPr>
          <w:rFonts w:ascii="仿宋" w:hAnsi="仿宋" w:eastAsia="仿宋" w:cs="仿宋"/>
          <w:color w:val="0000FF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（六）办理流程：</w:t>
      </w:r>
      <w:r>
        <w:rPr>
          <w:rFonts w:hint="eastAsia" w:ascii="仿宋" w:hAnsi="仿宋" w:eastAsia="仿宋" w:cs="仿宋"/>
          <w:sz w:val="28"/>
          <w:szCs w:val="28"/>
        </w:rPr>
        <w:t>见流程图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（七）办理时限：</w:t>
      </w:r>
      <w:r>
        <w:rPr>
          <w:rFonts w:hint="eastAsia" w:ascii="仿宋" w:hAnsi="仿宋" w:eastAsia="仿宋" w:cs="楷体"/>
          <w:b/>
          <w:sz w:val="28"/>
          <w:szCs w:val="28"/>
        </w:rPr>
        <w:t>30个工作日办结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rPr>
          <w:color w:val="0000FF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(八)监督方式：</w:t>
      </w:r>
      <w:r>
        <w:rPr>
          <w:rFonts w:hint="eastAsia" w:ascii="仿宋" w:eastAsia="仿宋"/>
          <w:sz w:val="28"/>
          <w:szCs w:val="28"/>
        </w:rPr>
        <w:t>实地或送达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(九)救济渠道：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rPr>
          <w:rFonts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1、行政处罚决定书送达后，当事人应当在15日内履行；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rPr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2、如不服行政机关作出的处罚决定，可在收到行政处罚决定书之日起60日内向上级行政部门或同级人民政府申请行政复议，或者6个月内向作出行政处罚决定行政机关所在地人民法院提请诉讼。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rPr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(十)处罚结果：</w:t>
      </w:r>
      <w:r>
        <w:rPr>
          <w:rFonts w:hint="eastAsia" w:ascii="仿宋" w:eastAsia="仿宋"/>
          <w:color w:val="000000"/>
          <w:sz w:val="28"/>
          <w:szCs w:val="28"/>
        </w:rPr>
        <w:t>向当事人送达行政处罚决定书，行政处罚结果在相关网站公示。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(十一)责任追究：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1、</w:t>
      </w:r>
      <w:r>
        <w:rPr>
          <w:rFonts w:hint="eastAsia" w:ascii="仿宋" w:eastAsia="仿宋"/>
          <w:color w:val="000000"/>
          <w:sz w:val="28"/>
          <w:szCs w:val="28"/>
        </w:rPr>
        <w:t>对没有法定的行政处罚依据，擅自改变行政处罚种类幅度，违反法定的行政处罚程序的，对直接负责的主管人员和其他直接责任人员依法给予行政处分；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2、</w:t>
      </w:r>
      <w:r>
        <w:rPr>
          <w:rFonts w:hint="eastAsia" w:ascii="仿宋" w:eastAsia="仿宋"/>
          <w:color w:val="000000"/>
          <w:sz w:val="28"/>
          <w:szCs w:val="28"/>
        </w:rPr>
        <w:t>对不使用罚款、没收财物单据或者使用非法定部门制发的罚款、没收财物单据的，对直接负责的主管人员和其他直接责任人员依法给予行政处分；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3、</w:t>
      </w:r>
      <w:r>
        <w:rPr>
          <w:rFonts w:hint="eastAsia" w:ascii="仿宋" w:eastAsia="仿宋"/>
          <w:color w:val="000000"/>
          <w:sz w:val="28"/>
          <w:szCs w:val="28"/>
        </w:rPr>
        <w:t>对将罚款、没收的违法所得或者财物截留、私分或者变相私分的，由有关部门予以追缴，对直接负责的主管人员和其他直接责任人员依法依法追究相应责任；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4、</w:t>
      </w:r>
      <w:r>
        <w:rPr>
          <w:rFonts w:hint="eastAsia" w:ascii="仿宋" w:eastAsia="仿宋"/>
          <w:color w:val="000000"/>
          <w:sz w:val="28"/>
          <w:szCs w:val="28"/>
        </w:rPr>
        <w:t>对利用职务上的便利，索取或者收受他人财物、收缴罚款据为己有，构成犯罪的，依法追究刑事责任；情节轻微不构成犯罪的，依法给予行政处分；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5、</w:t>
      </w:r>
      <w:r>
        <w:rPr>
          <w:rFonts w:hint="eastAsia" w:ascii="仿宋" w:eastAsia="仿宋"/>
          <w:color w:val="000000"/>
          <w:sz w:val="28"/>
          <w:szCs w:val="28"/>
        </w:rPr>
        <w:t>对使用或者损毁扣押的财物，对当事人造成损失的，应当依法予以赔偿，对直接负责的主管人员和其他直接责任人员依法给予行政处分。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jc w:val="both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（十二）办公地点及电话：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rPr>
          <w:rFonts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1、地点：</w:t>
      </w:r>
      <w:r>
        <w:rPr>
          <w:rFonts w:hint="eastAsia" w:ascii="仿宋" w:eastAsia="仿宋"/>
          <w:color w:val="000000"/>
          <w:sz w:val="28"/>
          <w:szCs w:val="28"/>
          <w:lang w:eastAsia="zh-CN"/>
        </w:rPr>
        <w:t>应县金城东街</w:t>
      </w:r>
      <w:r>
        <w:rPr>
          <w:rFonts w:hint="eastAsia" w:ascii="仿宋" w:eastAsia="仿宋"/>
          <w:color w:val="000000"/>
          <w:sz w:val="28"/>
          <w:szCs w:val="28"/>
        </w:rPr>
        <w:t>财政局</w:t>
      </w:r>
      <w:r>
        <w:rPr>
          <w:rFonts w:hint="eastAsia" w:ascii="仿宋" w:eastAsia="仿宋"/>
          <w:color w:val="000000"/>
          <w:sz w:val="28"/>
          <w:szCs w:val="28"/>
          <w:lang w:eastAsia="zh-CN"/>
        </w:rPr>
        <w:t>办公</w:t>
      </w:r>
      <w:r>
        <w:rPr>
          <w:rFonts w:hint="eastAsia" w:ascii="仿宋" w:eastAsia="仿宋"/>
          <w:color w:val="000000"/>
          <w:sz w:val="28"/>
          <w:szCs w:val="28"/>
        </w:rPr>
        <w:t>楼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rPr>
          <w:rFonts w:hint="default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eastAsia="仿宋"/>
          <w:color w:val="000000"/>
          <w:sz w:val="28"/>
          <w:szCs w:val="28"/>
        </w:rPr>
        <w:t>2、电话：0349-</w:t>
      </w:r>
      <w:r>
        <w:rPr>
          <w:rFonts w:hint="eastAsia" w:ascii="仿宋" w:eastAsia="仿宋"/>
          <w:color w:val="000000"/>
          <w:sz w:val="28"/>
          <w:szCs w:val="28"/>
          <w:lang w:val="en-US" w:eastAsia="zh-CN"/>
        </w:rPr>
        <w:t>5022335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6293"/>
    <w:rsid w:val="00091F20"/>
    <w:rsid w:val="000A213B"/>
    <w:rsid w:val="001665A2"/>
    <w:rsid w:val="00177C42"/>
    <w:rsid w:val="00195057"/>
    <w:rsid w:val="00292631"/>
    <w:rsid w:val="003C0371"/>
    <w:rsid w:val="005C61DB"/>
    <w:rsid w:val="00705C24"/>
    <w:rsid w:val="007C6C48"/>
    <w:rsid w:val="00986293"/>
    <w:rsid w:val="00D52867"/>
    <w:rsid w:val="00E80DF1"/>
    <w:rsid w:val="40C1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</Words>
  <Characters>755</Characters>
  <Lines>6</Lines>
  <Paragraphs>1</Paragraphs>
  <TotalTime>17</TotalTime>
  <ScaleCrop>false</ScaleCrop>
  <LinksUpToDate>false</LinksUpToDate>
  <CharactersWithSpaces>886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2019-11-28T09:58:00Z</dcterms:created>
  <dc:creator>admin</dc:creator>
  <cp:lastModifiedBy>Administrator</cp:lastModifiedBy>
  <dcterms:modified xsi:type="dcterms:W3CDTF">2020-03-26T09:31:56Z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