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420" w:type="dxa"/>
        <w:tblInd w:w="-33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19"/>
        <w:gridCol w:w="1134"/>
        <w:gridCol w:w="2410"/>
        <w:gridCol w:w="1276"/>
        <w:gridCol w:w="1846"/>
        <w:gridCol w:w="1200"/>
        <w:gridCol w:w="1159"/>
        <w:gridCol w:w="1677"/>
        <w:gridCol w:w="179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3420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8"/>
              </w:rPr>
            </w:pPr>
            <w:r>
              <w:rPr>
                <w:rFonts w:ascii="宋体" w:hAnsi="宋体"/>
                <w:b/>
                <w:color w:val="000000"/>
                <w:sz w:val="48"/>
              </w:rPr>
              <w:t>行政执法（监督）人员清单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职务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证件编号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执法类型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执法区域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证件有效期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发证机关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段清章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应县发展和改革局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  长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140622200380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发展改革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2018年7月—2023年7月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山西省人民政府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张维强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应县发展和改革局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140622100379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发展改革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2018年7月—2023年7月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山西省人民政府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杨耀斌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应县发展和改革局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副局长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140622100378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发展改革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2018年7月—2023年7月</w:t>
            </w:r>
          </w:p>
        </w:tc>
        <w:tc>
          <w:tcPr>
            <w:tcW w:w="17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山西省人民政府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艾荣强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应县发展和改革局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主任科员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140622200203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发展改革</w:t>
            </w: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</w:t>
            </w:r>
          </w:p>
        </w:tc>
        <w:tc>
          <w:tcPr>
            <w:tcW w:w="16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2015年9月—2020年9月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山西省人民政府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91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张振国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应县发展和改革局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科员</w:t>
            </w:r>
          </w:p>
        </w:tc>
        <w:tc>
          <w:tcPr>
            <w:tcW w:w="184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140622100360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发展改革</w:t>
            </w:r>
          </w:p>
        </w:tc>
        <w:tc>
          <w:tcPr>
            <w:tcW w:w="11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</w:t>
            </w:r>
          </w:p>
        </w:tc>
        <w:tc>
          <w:tcPr>
            <w:tcW w:w="16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80" w:lineRule="exac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2018年7月—2023年7月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山西省人民政府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杨仁溥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应县发展和改革局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科员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140622100377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发展改革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2018年7月—2023年7月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山西省人民政府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9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王久钧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应县发展和改革局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科员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35100270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价格行政执法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2017年1月—2021年12月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国家发展和改革委员会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" w:hRule="atLeast"/>
        </w:trPr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白春芳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应县发展和改革局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科员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35102442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价格行政执法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2017年1月—2021年12月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国家发展和改革委员会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洪玉海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应县发展和改革局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主任科员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姚一文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应县发展和改革局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科员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2" w:hRule="atLeast"/>
        </w:trPr>
        <w:tc>
          <w:tcPr>
            <w:tcW w:w="13420" w:type="dxa"/>
            <w:gridSpan w:val="9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填表说明:  1.工作单位填写执法证件上的单位名称；2.证件有效期采用“××××年××月—××××年××月”格式。</w:t>
            </w:r>
            <w:r>
              <w:rPr>
                <w:rFonts w:ascii="宋体" w:hAnsi="宋体"/>
                <w:b/>
                <w:color w:val="000000"/>
                <w:sz w:val="24"/>
              </w:rPr>
              <w:br w:type="textWrapping"/>
            </w:r>
          </w:p>
        </w:tc>
      </w:tr>
    </w:tbl>
    <w:p>
      <w:pPr>
        <w:autoSpaceDN w:val="0"/>
        <w:jc w:val="left"/>
        <w:textAlignment w:val="center"/>
        <w:rPr>
          <w:rFonts w:ascii="黑体" w:hAnsi="黑体" w:eastAsia="黑体"/>
          <w:color w:val="000000"/>
          <w:sz w:val="32"/>
        </w:rPr>
      </w:pPr>
    </w:p>
    <w:tbl>
      <w:tblPr>
        <w:tblStyle w:val="5"/>
        <w:tblW w:w="13739" w:type="dxa"/>
        <w:tblInd w:w="-26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60"/>
        <w:gridCol w:w="1279"/>
        <w:gridCol w:w="2351"/>
        <w:gridCol w:w="2595"/>
        <w:gridCol w:w="1782"/>
        <w:gridCol w:w="662"/>
        <w:gridCol w:w="1402"/>
        <w:gridCol w:w="1455"/>
        <w:gridCol w:w="145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0" w:hRule="atLeast"/>
        </w:trPr>
        <w:tc>
          <w:tcPr>
            <w:tcW w:w="13739" w:type="dxa"/>
            <w:gridSpan w:val="9"/>
            <w:vAlign w:val="center"/>
          </w:tcPr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6"/>
                <w:szCs w:val="36"/>
              </w:rPr>
            </w:pP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6"/>
                <w:szCs w:val="36"/>
              </w:rPr>
            </w:pP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6"/>
                <w:szCs w:val="36"/>
              </w:rPr>
            </w:pPr>
          </w:p>
          <w:p>
            <w:pPr>
              <w:autoSpaceDN w:val="0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36"/>
                <w:szCs w:val="36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0"/>
                <w:szCs w:val="40"/>
              </w:rPr>
              <w:t>随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0"/>
                <w:szCs w:val="40"/>
              </w:rPr>
              <w:t>机抽查事项清单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抽查事项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检查依据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检查内容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检查方式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适用对象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抽查比例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抽查频次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对有关储备基础设施的监管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《山西省粮食和物资储备局职能配置、内设机构和人员编制规定》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对有关储备基础设施和备案事项进行检查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双随机、一公开;重点监管;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国有粮油仓储企业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2次/年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与监管事项目录清单管理系统一致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6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全省粮食流通监管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《山西省国有粮油仓储物流设施保护实施细则》《山西省粮油仓储企业备案管理办法》《山西省粮食和物资储备局职能配置、内设机构和人员编制规定》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对粮食经营者从事粮食收购、储存、运输活动和政策性用粮的购销活动，以及执行国家粮食流通统计制度情况的行政检查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双随机、一公开;重点监管;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粮食经营者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5%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4次/年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与监管事项目录清单管理系统一致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对外商投资项目核准和备案监管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对申报外商投资项目核准或备案的项目单位的行政检查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项目单位及有关责任人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455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与监管事项目录清单管理系统一致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对其他中央事权粮食的监管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《粮食流通管理条例》  《国家粮食和物资储备局职能配置、内设机构和人员编制规定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对其他中央事权粮食的数量、质量和储存安全的行政检查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从事中央储备粮储备的企业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1%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4次/年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与监管事项目录清单管理系统一致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对粮食收购资格的监管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 xml:space="preserve">    《粮食流通管理条例》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对粮食收购资格的行政检查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双随机、一公开;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从事粮食收购的企业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1%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5"/>
                <w:szCs w:val="15"/>
              </w:rPr>
              <w:t>4次/年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5"/>
                <w:szCs w:val="15"/>
              </w:rPr>
              <w:t>与监管事项目录清单管理系统一致</w:t>
            </w:r>
          </w:p>
        </w:tc>
      </w:tr>
    </w:tbl>
    <w:p>
      <w:pPr>
        <w:tabs>
          <w:tab w:val="left" w:pos="7583"/>
        </w:tabs>
        <w:jc w:val="left"/>
      </w:pPr>
    </w:p>
    <w:p>
      <w:pPr>
        <w:jc w:val="left"/>
      </w:pPr>
    </w:p>
    <w:sectPr>
      <w:footerReference r:id="rId3" w:type="default"/>
      <w:pgSz w:w="16838" w:h="11906" w:orient="landscape"/>
      <w:pgMar w:top="1587" w:right="2098" w:bottom="1474" w:left="1984" w:header="851" w:footer="1587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1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udDbNbgBAABVAwAADgAAAAAAAAABACAAAAAeAQAAZHJzL2Uyb0RvYy54bWxQSwUGAAAAAAYABgBZ&#10;AQAAS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327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1D2BE1"/>
    <w:rsid w:val="00063029"/>
    <w:rsid w:val="000E4E05"/>
    <w:rsid w:val="00126594"/>
    <w:rsid w:val="001A36A8"/>
    <w:rsid w:val="001D1657"/>
    <w:rsid w:val="003442B0"/>
    <w:rsid w:val="00497032"/>
    <w:rsid w:val="005A41AA"/>
    <w:rsid w:val="005A7EE3"/>
    <w:rsid w:val="005F60B5"/>
    <w:rsid w:val="006B4455"/>
    <w:rsid w:val="008014AF"/>
    <w:rsid w:val="00814D2C"/>
    <w:rsid w:val="008416FA"/>
    <w:rsid w:val="008B37FA"/>
    <w:rsid w:val="009659C5"/>
    <w:rsid w:val="009E7932"/>
    <w:rsid w:val="00A145F8"/>
    <w:rsid w:val="00AA31C6"/>
    <w:rsid w:val="00B031F5"/>
    <w:rsid w:val="00C30A20"/>
    <w:rsid w:val="00C4175B"/>
    <w:rsid w:val="00CD1CD0"/>
    <w:rsid w:val="00CE2353"/>
    <w:rsid w:val="00D636DC"/>
    <w:rsid w:val="00E42948"/>
    <w:rsid w:val="00E70294"/>
    <w:rsid w:val="00EF4E5B"/>
    <w:rsid w:val="00F6493D"/>
    <w:rsid w:val="00F96D07"/>
    <w:rsid w:val="1A1D2BE1"/>
    <w:rsid w:val="1BC25B47"/>
    <w:rsid w:val="23BE4242"/>
    <w:rsid w:val="25C22289"/>
    <w:rsid w:val="26F5063D"/>
    <w:rsid w:val="273B499C"/>
    <w:rsid w:val="30036F23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7">
    <w:name w:val="批注框文本 Char"/>
    <w:basedOn w:val="6"/>
    <w:link w:val="2"/>
    <w:uiPriority w:val="0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199</Words>
  <Characters>1139</Characters>
  <Lines>9</Lines>
  <Paragraphs>2</Paragraphs>
  <TotalTime>1036</TotalTime>
  <ScaleCrop>false</ScaleCrop>
  <LinksUpToDate>false</LinksUpToDate>
  <CharactersWithSpaces>1336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2019-07-24T03:01:00Z</dcterms:created>
  <dc:creator>00</dc:creator>
  <cp:lastModifiedBy>无为</cp:lastModifiedBy>
  <cp:lastPrinted>2019-09-23T09:33:00Z</cp:lastPrinted>
  <dcterms:modified xsi:type="dcterms:W3CDTF">2020-08-05T02:52:04Z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