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14029" w:type="dxa"/>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09"/>
        <w:gridCol w:w="1875"/>
        <w:gridCol w:w="2569"/>
        <w:gridCol w:w="3609"/>
        <w:gridCol w:w="1116"/>
        <w:gridCol w:w="1256"/>
        <w:gridCol w:w="1209"/>
        <w:gridCol w:w="1135"/>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260" w:hRule="atLeast"/>
        </w:trPr>
        <w:tc>
          <w:tcPr>
            <w:tcW w:w="14029" w:type="dxa"/>
            <w:gridSpan w:val="9"/>
            <w:vAlign w:val="center"/>
          </w:tcPr>
          <w:p>
            <w:pPr>
              <w:autoSpaceDN w:val="0"/>
              <w:jc w:val="center"/>
              <w:textAlignment w:val="center"/>
              <w:rPr>
                <w:rFonts w:hint="default" w:ascii="宋体" w:hAnsi="宋体" w:eastAsia="宋体"/>
                <w:b/>
                <w:i w:val="0"/>
                <w:color w:val="000000"/>
                <w:sz w:val="48"/>
                <w:u w:val="none"/>
                <w:lang w:eastAsia="zh-CN"/>
              </w:rPr>
            </w:pPr>
            <w:r>
              <w:rPr>
                <w:rFonts w:hint="eastAsia" w:ascii="宋体" w:hAnsi="宋体"/>
                <w:b/>
                <w:i w:val="0"/>
                <w:color w:val="000000"/>
                <w:sz w:val="48"/>
                <w:u w:val="none"/>
                <w:lang w:eastAsia="zh-CN"/>
              </w:rPr>
              <w:t>应</w:t>
            </w:r>
            <w:bookmarkStart w:id="0" w:name="_GoBack"/>
            <w:bookmarkEnd w:id="0"/>
            <w:r>
              <w:rPr>
                <w:rFonts w:hint="eastAsia" w:ascii="宋体" w:hAnsi="宋体"/>
                <w:b/>
                <w:i w:val="0"/>
                <w:color w:val="000000"/>
                <w:sz w:val="48"/>
                <w:u w:val="none"/>
                <w:lang w:eastAsia="zh-CN"/>
              </w:rPr>
              <w:t>县公安局</w:t>
            </w:r>
            <w:r>
              <w:rPr>
                <w:rFonts w:hint="default" w:ascii="宋体" w:hAnsi="宋体" w:eastAsia="宋体"/>
                <w:b/>
                <w:i w:val="0"/>
                <w:color w:val="000000"/>
                <w:sz w:val="48"/>
                <w:u w:val="none"/>
                <w:lang w:eastAsia="zh-CN"/>
              </w:rPr>
              <w:t>随机抽查事项清单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5"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序号</w:t>
            </w: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抽查事项</w:t>
            </w:r>
          </w:p>
        </w:tc>
        <w:tc>
          <w:tcPr>
            <w:tcW w:w="2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检查依据</w:t>
            </w:r>
          </w:p>
        </w:tc>
        <w:tc>
          <w:tcPr>
            <w:tcW w:w="36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检查内容</w:t>
            </w:r>
          </w:p>
        </w:tc>
        <w:tc>
          <w:tcPr>
            <w:tcW w:w="11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检查方式</w:t>
            </w:r>
          </w:p>
        </w:tc>
        <w:tc>
          <w:tcPr>
            <w:tcW w:w="12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适用对象</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抽查比例</w:t>
            </w: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抽查频次</w:t>
            </w:r>
          </w:p>
        </w:tc>
        <w:tc>
          <w:tcPr>
            <w:tcW w:w="6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4"/>
                <w:u w:val="none"/>
                <w:lang w:eastAsia="zh-CN"/>
              </w:rPr>
            </w:pPr>
            <w:r>
              <w:rPr>
                <w:rFonts w:hint="default" w:ascii="宋体" w:hAnsi="宋体" w:eastAsia="宋体"/>
                <w:b/>
                <w:i w:val="0"/>
                <w:color w:val="000000"/>
                <w:sz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00"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val="en-US" w:eastAsia="zh-CN"/>
              </w:rPr>
            </w:pPr>
            <w:r>
              <w:rPr>
                <w:rFonts w:hint="eastAsia" w:ascii="仿宋" w:hAnsi="仿宋" w:eastAsia="仿宋" w:cs="仿宋"/>
                <w:b/>
                <w:bCs/>
                <w:i w:val="0"/>
                <w:color w:val="000000"/>
                <w:sz w:val="18"/>
                <w:szCs w:val="18"/>
                <w:u w:val="none"/>
                <w:lang w:val="en-US" w:eastAsia="zh-CN"/>
              </w:rPr>
              <w:t>1</w:t>
            </w: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对爆破作业单位的现场管理、防范措施、结存信息、警示标识等方面工作落实情况进行抽查</w:t>
            </w:r>
          </w:p>
        </w:tc>
        <w:tc>
          <w:tcPr>
            <w:tcW w:w="2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《民用爆炸物品安全管理条例》</w:t>
            </w:r>
          </w:p>
        </w:tc>
        <w:tc>
          <w:tcPr>
            <w:tcW w:w="36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爆破作业现场、爆破作业单位、爆破作业人员和民用爆炸物品的品种、数量、来源与公安机关许可信息是否一致，民用爆炸物品临时存放是否由专人管理看护；民用爆炸物品储存库技防、人防、物防、犬防等治安防范措施落实情况；民用爆炸物品流向信息的查验、登记、备案、信息采集和报送情况；实有民用爆炸物品的品种、数量、来源、登记标识与台账结存信息是否一致；实有民用爆炸物品的警示、登记标识质量是否可靠、信息是否准确；民用爆炸物品档案材料保管情况。</w:t>
            </w:r>
          </w:p>
        </w:tc>
        <w:tc>
          <w:tcPr>
            <w:tcW w:w="11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p>
        </w:tc>
        <w:tc>
          <w:tcPr>
            <w:tcW w:w="12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olor w:val="000000"/>
                <w:sz w:val="18"/>
                <w:szCs w:val="18"/>
                <w:u w:val="none"/>
                <w:lang w:eastAsia="zh-CN"/>
              </w:rPr>
              <w:t>企业</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val="en-US" w:eastAsia="zh-CN"/>
              </w:rPr>
            </w:pPr>
            <w:r>
              <w:rPr>
                <w:rFonts w:hint="eastAsia" w:ascii="仿宋" w:hAnsi="仿宋" w:eastAsia="仿宋" w:cs="仿宋"/>
                <w:b/>
                <w:bCs/>
                <w:i w:val="0"/>
                <w:color w:val="000000"/>
                <w:sz w:val="18"/>
                <w:szCs w:val="18"/>
                <w:u w:val="none"/>
                <w:lang w:val="en-US" w:eastAsia="zh-CN"/>
              </w:rPr>
              <w:t>50%</w:t>
            </w: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val="en-US" w:eastAsia="zh-CN"/>
              </w:rPr>
            </w:pPr>
            <w:r>
              <w:rPr>
                <w:rFonts w:hint="eastAsia" w:ascii="仿宋" w:hAnsi="仿宋" w:eastAsia="仿宋" w:cs="仿宋"/>
                <w:b/>
                <w:bCs/>
                <w:i w:val="0"/>
                <w:color w:val="000000"/>
                <w:sz w:val="18"/>
                <w:szCs w:val="18"/>
                <w:u w:val="none"/>
                <w:lang w:val="en-US" w:eastAsia="zh-CN"/>
              </w:rPr>
              <w:t>2次/年</w:t>
            </w:r>
          </w:p>
        </w:tc>
        <w:tc>
          <w:tcPr>
            <w:tcW w:w="6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00"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val="en-US" w:eastAsia="zh-CN"/>
              </w:rPr>
            </w:pPr>
            <w:r>
              <w:rPr>
                <w:rFonts w:hint="eastAsia" w:ascii="仿宋" w:hAnsi="仿宋" w:eastAsia="仿宋" w:cs="仿宋"/>
                <w:b/>
                <w:bCs/>
                <w:i w:val="0"/>
                <w:color w:val="000000"/>
                <w:sz w:val="18"/>
                <w:szCs w:val="18"/>
                <w:u w:val="none"/>
                <w:lang w:val="en-US" w:eastAsia="zh-CN"/>
              </w:rPr>
              <w:t>2</w:t>
            </w: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对娱乐场所和特种行业的安防、备案、登记、管理等方面工作落实情况进行抽查</w:t>
            </w:r>
          </w:p>
        </w:tc>
        <w:tc>
          <w:tcPr>
            <w:tcW w:w="2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《娱乐场所管理条例》《旅馆业治安管理办法》</w:t>
            </w:r>
          </w:p>
        </w:tc>
        <w:tc>
          <w:tcPr>
            <w:tcW w:w="36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开业、变更后是否按规定到公安机关备案；法定代表人或者主要负责人履行治安、安全责任情况；设施、设备是否符合治安、安全防范有关规定及标准；治安、安全防范制度、措施建立和落实情况；治安管理信息系统建设和应用情况；是否存在违法犯罪情况；提供住宿服务项目的场所住宿验证登记情况。</w:t>
            </w:r>
          </w:p>
        </w:tc>
        <w:tc>
          <w:tcPr>
            <w:tcW w:w="11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p>
        </w:tc>
        <w:tc>
          <w:tcPr>
            <w:tcW w:w="12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全</w:t>
            </w:r>
            <w:r>
              <w:rPr>
                <w:rFonts w:hint="eastAsia" w:ascii="仿宋" w:hAnsi="仿宋" w:eastAsia="仿宋" w:cs="仿宋"/>
                <w:b/>
                <w:bCs/>
                <w:i w:val="0"/>
                <w:caps w:val="0"/>
                <w:color w:val="333333"/>
                <w:spacing w:val="0"/>
                <w:sz w:val="18"/>
                <w:szCs w:val="18"/>
                <w:shd w:val="clear" w:color="090000" w:fill="FFFFFF"/>
                <w:lang w:eastAsia="zh-CN"/>
              </w:rPr>
              <w:t>县</w:t>
            </w:r>
            <w:r>
              <w:rPr>
                <w:rFonts w:hint="eastAsia" w:ascii="仿宋" w:hAnsi="仿宋" w:eastAsia="仿宋" w:cs="仿宋"/>
                <w:b/>
                <w:bCs/>
                <w:i w:val="0"/>
                <w:caps w:val="0"/>
                <w:color w:val="333333"/>
                <w:spacing w:val="0"/>
                <w:sz w:val="18"/>
                <w:szCs w:val="18"/>
                <w:shd w:val="clear" w:color="090000" w:fill="FFFFFF"/>
              </w:rPr>
              <w:t>旅馆、公章刻制业、典当业、娱乐场所</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olor w:val="000000"/>
                <w:sz w:val="18"/>
                <w:szCs w:val="18"/>
                <w:u w:val="none"/>
                <w:lang w:val="en-US" w:eastAsia="zh-CN"/>
              </w:rPr>
              <w:t>50%</w:t>
            </w: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rPr>
            </w:pPr>
            <w:r>
              <w:rPr>
                <w:rFonts w:hint="eastAsia" w:ascii="仿宋" w:hAnsi="仿宋" w:eastAsia="仿宋" w:cs="仿宋"/>
                <w:b/>
                <w:bCs/>
                <w:i w:val="0"/>
                <w:color w:val="000000"/>
                <w:sz w:val="18"/>
                <w:szCs w:val="18"/>
                <w:u w:val="none"/>
                <w:lang w:val="en-US" w:eastAsia="zh-CN"/>
              </w:rPr>
              <w:t>2次/年</w:t>
            </w:r>
          </w:p>
        </w:tc>
        <w:tc>
          <w:tcPr>
            <w:tcW w:w="6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00"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val="en-US" w:eastAsia="zh-CN"/>
              </w:rPr>
            </w:pPr>
            <w:r>
              <w:rPr>
                <w:rFonts w:hint="eastAsia" w:ascii="仿宋" w:hAnsi="仿宋" w:eastAsia="仿宋" w:cs="仿宋"/>
                <w:b/>
                <w:bCs/>
                <w:i w:val="0"/>
                <w:color w:val="000000"/>
                <w:sz w:val="18"/>
                <w:szCs w:val="18"/>
                <w:u w:val="none"/>
                <w:lang w:val="en-US" w:eastAsia="zh-CN"/>
              </w:rPr>
              <w:t>3</w:t>
            </w: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对保安服务业的管理制度、安防设施、保安标志、押运服务、枪支使用、权益保障等方面工作落实情况进行抽查</w:t>
            </w:r>
          </w:p>
        </w:tc>
        <w:tc>
          <w:tcPr>
            <w:tcW w:w="2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《保安服务管理条例》</w:t>
            </w:r>
          </w:p>
        </w:tc>
        <w:tc>
          <w:tcPr>
            <w:tcW w:w="36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保安服务合同和监控影像资料、报警记录留存制度落实情况；保安服务中涉及的安全技术防范产品、设备安装、变更、使用情况；保安服务管理制度、岗位责任制度、保管员管理制度和紧急情况应急预案建立落实情况；从事武装守护押运服务的保安服务公司公务用枪安全管理制度和保管设施建设情况；保安员及其服装、保安服务标志与装备管理情况；保安员在岗培训和权益保障工作落实情况；被投诉举报事项纠正情况。</w:t>
            </w:r>
          </w:p>
        </w:tc>
        <w:tc>
          <w:tcPr>
            <w:tcW w:w="11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p>
        </w:tc>
        <w:tc>
          <w:tcPr>
            <w:tcW w:w="12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保安公司</w:t>
            </w:r>
          </w:p>
        </w:tc>
        <w:tc>
          <w:tcPr>
            <w:tcW w:w="1209" w:type="dxa"/>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olor w:val="000000"/>
                <w:sz w:val="18"/>
                <w:szCs w:val="18"/>
                <w:u w:val="none"/>
                <w:lang w:val="en-US" w:eastAsia="zh-CN"/>
              </w:rPr>
              <w:t>50%</w:t>
            </w:r>
          </w:p>
        </w:tc>
        <w:tc>
          <w:tcPr>
            <w:tcW w:w="1135" w:type="dxa"/>
            <w:tcBorders>
              <w:lef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olor w:val="000000"/>
                <w:sz w:val="18"/>
                <w:szCs w:val="18"/>
                <w:u w:val="none"/>
                <w:lang w:val="en-US" w:eastAsia="zh-CN"/>
              </w:rPr>
              <w:t>2次/年</w:t>
            </w:r>
          </w:p>
        </w:tc>
        <w:tc>
          <w:tcPr>
            <w:tcW w:w="6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2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val="en-US" w:eastAsia="zh-CN"/>
              </w:rPr>
            </w:pPr>
            <w:r>
              <w:rPr>
                <w:rFonts w:hint="eastAsia" w:ascii="仿宋" w:hAnsi="仿宋" w:eastAsia="仿宋" w:cs="仿宋"/>
                <w:b/>
                <w:bCs/>
                <w:i w:val="0"/>
                <w:color w:val="000000"/>
                <w:sz w:val="18"/>
                <w:szCs w:val="18"/>
                <w:u w:val="none"/>
                <w:lang w:val="en-US" w:eastAsia="zh-CN"/>
              </w:rPr>
              <w:t>4</w:t>
            </w: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对易制毒化学品管理进行抽查</w:t>
            </w:r>
          </w:p>
        </w:tc>
        <w:tc>
          <w:tcPr>
            <w:tcW w:w="2569" w:type="dxa"/>
            <w:tcBorders>
              <w:top w:val="single" w:color="000000" w:sz="4" w:space="0"/>
              <w:left w:val="single" w:color="000000" w:sz="4" w:space="0"/>
              <w:bottom w:val="single" w:color="000000" w:sz="4" w:space="0"/>
              <w:right w:val="single" w:color="000000" w:sz="4" w:space="0"/>
            </w:tcBorders>
            <w:vAlign w:val="center"/>
          </w:tcPr>
          <w:p>
            <w:pPr>
              <w:rPr>
                <w:rFonts w:hint="eastAsia"/>
                <w:lang w:eastAsia="zh-CN"/>
              </w:rPr>
            </w:pPr>
            <w:r>
              <w:rPr>
                <w:rFonts w:hint="eastAsia"/>
              </w:rPr>
              <w:t>《易制毒化学品管理条例》</w:t>
            </w:r>
          </w:p>
        </w:tc>
        <w:tc>
          <w:tcPr>
            <w:tcW w:w="36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易制毒化学品生产购买使用台帐、储存</w:t>
            </w:r>
          </w:p>
        </w:tc>
        <w:tc>
          <w:tcPr>
            <w:tcW w:w="11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p>
        </w:tc>
        <w:tc>
          <w:tcPr>
            <w:tcW w:w="12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易制毒化学品生产经营使用单位</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olor w:val="000000"/>
                <w:sz w:val="18"/>
                <w:szCs w:val="18"/>
                <w:u w:val="none"/>
                <w:lang w:val="en-US" w:eastAsia="zh-CN"/>
              </w:rPr>
              <w:t>50%</w:t>
            </w: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rPr>
            </w:pPr>
            <w:r>
              <w:rPr>
                <w:rFonts w:hint="eastAsia" w:ascii="仿宋" w:hAnsi="仿宋" w:eastAsia="仿宋" w:cs="仿宋"/>
                <w:b/>
                <w:bCs/>
                <w:i w:val="0"/>
                <w:color w:val="000000"/>
                <w:sz w:val="18"/>
                <w:szCs w:val="18"/>
                <w:u w:val="none"/>
                <w:lang w:val="en-US" w:eastAsia="zh-CN"/>
              </w:rPr>
              <w:t>2次/年</w:t>
            </w:r>
          </w:p>
        </w:tc>
        <w:tc>
          <w:tcPr>
            <w:tcW w:w="6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59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val="en-US" w:eastAsia="zh-CN"/>
              </w:rPr>
            </w:pPr>
            <w:r>
              <w:rPr>
                <w:rFonts w:hint="eastAsia" w:ascii="仿宋" w:hAnsi="仿宋" w:eastAsia="仿宋" w:cs="仿宋"/>
                <w:b/>
                <w:bCs/>
                <w:i w:val="0"/>
                <w:color w:val="000000"/>
                <w:sz w:val="18"/>
                <w:szCs w:val="18"/>
                <w:u w:val="none"/>
                <w:lang w:val="en-US" w:eastAsia="zh-CN"/>
              </w:rPr>
              <w:t>5</w:t>
            </w:r>
          </w:p>
        </w:tc>
        <w:tc>
          <w:tcPr>
            <w:tcW w:w="18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对网吧是否存在信息登记不一致、未实名登记、一机多人上网等情况进行抽查</w:t>
            </w:r>
          </w:p>
        </w:tc>
        <w:tc>
          <w:tcPr>
            <w:tcW w:w="25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《互联网上网服务营业场所管理条例》、《计算机信息系统安全专用产品检测和销售许可证管理办法》</w:t>
            </w:r>
          </w:p>
        </w:tc>
        <w:tc>
          <w:tcPr>
            <w:tcW w:w="36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网吧基础资料与网吧实际情况是否相符；是否存在一机多人上网的情况；是否存在不登、漏登、乱登或冒用他人身份证、身份信息登记上网，未按规定核对登记上网消费者有效身份证件或者记录有关上网信息等违背网吧上网实名制的情况；互联网上网服务营业场所经营单位和上网消费者有无利用互联网上网服务营业场所制作、下载、复制、阅读、发布、传播各类有害信息；是否按规定时间保存登记内容、记录备份，或者在保存期内修改、删除登记内容、记录备份。</w:t>
            </w:r>
          </w:p>
        </w:tc>
        <w:tc>
          <w:tcPr>
            <w:tcW w:w="11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p>
        </w:tc>
        <w:tc>
          <w:tcPr>
            <w:tcW w:w="12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aps w:val="0"/>
                <w:color w:val="333333"/>
                <w:spacing w:val="0"/>
                <w:sz w:val="18"/>
                <w:szCs w:val="18"/>
                <w:shd w:val="clear" w:color="090000" w:fill="FFFFFF"/>
              </w:rPr>
              <w:t>网吧</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r>
              <w:rPr>
                <w:rFonts w:hint="eastAsia" w:ascii="仿宋" w:hAnsi="仿宋" w:eastAsia="仿宋" w:cs="仿宋"/>
                <w:b/>
                <w:bCs/>
                <w:i w:val="0"/>
                <w:color w:val="000000"/>
                <w:sz w:val="18"/>
                <w:szCs w:val="18"/>
                <w:u w:val="none"/>
                <w:lang w:val="en-US" w:eastAsia="zh-CN"/>
              </w:rPr>
              <w:t>50%</w:t>
            </w: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rPr>
            </w:pPr>
            <w:r>
              <w:rPr>
                <w:rFonts w:hint="eastAsia" w:ascii="仿宋" w:hAnsi="仿宋" w:eastAsia="仿宋" w:cs="仿宋"/>
                <w:b/>
                <w:bCs/>
                <w:i w:val="0"/>
                <w:color w:val="000000"/>
                <w:sz w:val="18"/>
                <w:szCs w:val="18"/>
                <w:u w:val="none"/>
                <w:lang w:val="en-US" w:eastAsia="zh-CN"/>
              </w:rPr>
              <w:t>2次/年</w:t>
            </w:r>
          </w:p>
        </w:tc>
        <w:tc>
          <w:tcPr>
            <w:tcW w:w="6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i w:val="0"/>
                <w:color w:val="000000"/>
                <w:sz w:val="18"/>
                <w:szCs w:val="18"/>
                <w:u w:val="none"/>
                <w:lang w:eastAsia="zh-CN"/>
              </w:rPr>
            </w:pPr>
          </w:p>
        </w:tc>
      </w:tr>
    </w:tbl>
    <w:p>
      <w:pPr>
        <w:rPr>
          <w:rFonts w:hint="eastAsia" w:ascii="宋体" w:hAnsi="宋体" w:eastAsia="宋体" w:cs="宋体"/>
          <w:b/>
          <w:bCs/>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auto"/>
    <w:pitch w:val="default"/>
    <w:sig w:usb0="E00002FF" w:usb1="4000ACFF" w:usb2="00000001"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E445655"/>
    <w:rsid w:val="13AC139E"/>
    <w:rsid w:val="47355E0C"/>
    <w:rsid w:val="6F7E6B0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Administrator</cp:lastModifiedBy>
  <dcterms:modified xsi:type="dcterms:W3CDTF">2018-12-13T01:59:13Z</dcterms:modified>
  <dc:title>应县公安局随机抽查事项清单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