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bdr w:val="none" w:color="auto" w:sz="0" w:space="0"/>
          <w:shd w:val="clear" w:fill="FFFFFF"/>
          <w:lang w:eastAsia="zh-CN"/>
        </w:rPr>
        <w:t>应县</w:t>
      </w:r>
      <w:r>
        <w:rPr>
          <w:rFonts w:hint="eastAsia" w:ascii="宋体" w:hAnsi="宋体" w:eastAsia="宋体" w:cs="宋体"/>
          <w:b/>
          <w:bCs/>
          <w:i w:val="0"/>
          <w:iCs w:val="0"/>
          <w:caps w:val="0"/>
          <w:color w:val="333333"/>
          <w:spacing w:val="0"/>
          <w:sz w:val="36"/>
          <w:szCs w:val="36"/>
          <w:bdr w:val="none" w:color="auto" w:sz="0" w:space="0"/>
          <w:shd w:val="clear" w:fill="FFFFFF"/>
        </w:rPr>
        <w:t>交通运输局重大行政执法决定法制审核目录清单</w:t>
      </w:r>
    </w:p>
    <w:tbl>
      <w:tblPr>
        <w:tblW w:w="143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70"/>
        <w:gridCol w:w="1005"/>
        <w:gridCol w:w="4845"/>
        <w:gridCol w:w="3390"/>
        <w:gridCol w:w="4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07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bdr w:val="none" w:color="auto" w:sz="0" w:space="0"/>
                <w:lang w:val="en-US" w:eastAsia="zh-CN" w:bidi="ar"/>
              </w:rPr>
              <w:t>序号</w:t>
            </w:r>
          </w:p>
        </w:tc>
        <w:tc>
          <w:tcPr>
            <w:tcW w:w="100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bdr w:val="none" w:color="auto" w:sz="0" w:space="0"/>
                <w:lang w:val="en-US" w:eastAsia="zh-CN" w:bidi="ar"/>
              </w:rPr>
              <w:t>执法类别</w:t>
            </w:r>
          </w:p>
        </w:tc>
        <w:tc>
          <w:tcPr>
            <w:tcW w:w="484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bdr w:val="none" w:color="auto" w:sz="0" w:space="0"/>
                <w:lang w:val="en-US" w:eastAsia="zh-CN" w:bidi="ar"/>
              </w:rPr>
              <w:t>审核的具体执法决定项目</w:t>
            </w:r>
          </w:p>
        </w:tc>
        <w:tc>
          <w:tcPr>
            <w:tcW w:w="339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bdr w:val="none" w:color="auto" w:sz="0" w:space="0"/>
                <w:lang w:val="en-US" w:eastAsia="zh-CN" w:bidi="ar"/>
              </w:rPr>
              <w:t>应提交的审核资料</w:t>
            </w:r>
          </w:p>
        </w:tc>
        <w:tc>
          <w:tcPr>
            <w:tcW w:w="405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bdr w:val="none" w:color="auto" w:sz="0" w:space="0"/>
                <w:lang w:val="en-US" w:eastAsia="zh-CN" w:bidi="ar"/>
              </w:rPr>
              <w:t>审核重点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27" w:hRule="atLeast"/>
        </w:trPr>
        <w:tc>
          <w:tcPr>
            <w:tcW w:w="107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100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行政许可</w:t>
            </w:r>
          </w:p>
        </w:tc>
        <w:tc>
          <w:tcPr>
            <w:tcW w:w="484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具备以下情形的许可项目：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（一）涉及重大国家利益和公共利益的事项；</w:t>
            </w:r>
            <w:r>
              <w:rPr>
                <w:rFonts w:hint="eastAsia" w:ascii="宋体" w:hAnsi="宋体" w:eastAsia="宋体" w:cs="宋体"/>
                <w:color w:val="auto"/>
                <w:kern w:val="0"/>
                <w:sz w:val="24"/>
                <w:szCs w:val="24"/>
                <w:bdr w:val="none" w:color="auto" w:sz="0" w:space="0"/>
                <w:lang w:val="en-US" w:eastAsia="zh-CN" w:bidi="ar"/>
              </w:rPr>
              <w:br w:type="textWrapping"/>
            </w:r>
            <w:r>
              <w:rPr>
                <w:rFonts w:hint="eastAsia" w:ascii="宋体" w:hAnsi="宋体" w:eastAsia="宋体" w:cs="宋体"/>
                <w:color w:val="auto"/>
                <w:kern w:val="0"/>
                <w:sz w:val="24"/>
                <w:szCs w:val="24"/>
                <w:bdr w:val="none" w:color="auto" w:sz="0" w:space="0"/>
                <w:lang w:val="en-US" w:eastAsia="zh-CN" w:bidi="ar"/>
              </w:rPr>
              <w:t>（二）可能造成重大社会影响或引发社会风险的。重大社会影响是指具有示范效应，属于社会关注热点的；引发社会风险是指对从业单位和人员群体利益可能诱发连锁反应的；</w:t>
            </w:r>
            <w:r>
              <w:rPr>
                <w:rFonts w:hint="eastAsia" w:ascii="宋体" w:hAnsi="宋体" w:eastAsia="宋体" w:cs="宋体"/>
                <w:color w:val="auto"/>
                <w:kern w:val="0"/>
                <w:sz w:val="24"/>
                <w:szCs w:val="24"/>
                <w:bdr w:val="none" w:color="auto" w:sz="0" w:space="0"/>
                <w:lang w:val="en-US" w:eastAsia="zh-CN" w:bidi="ar"/>
              </w:rPr>
              <w:br w:type="textWrapping"/>
            </w:r>
            <w:r>
              <w:rPr>
                <w:rFonts w:hint="eastAsia" w:ascii="宋体" w:hAnsi="宋体" w:eastAsia="宋体" w:cs="宋体"/>
                <w:color w:val="auto"/>
                <w:kern w:val="0"/>
                <w:sz w:val="24"/>
                <w:szCs w:val="24"/>
                <w:bdr w:val="none" w:color="auto" w:sz="0" w:space="0"/>
                <w:lang w:val="en-US" w:eastAsia="zh-CN" w:bidi="ar"/>
              </w:rPr>
              <w:t>（三）不予行政许可延续决定、撤销行政许可决定的；</w:t>
            </w:r>
            <w:r>
              <w:rPr>
                <w:rFonts w:hint="eastAsia" w:ascii="宋体" w:hAnsi="宋体" w:eastAsia="宋体" w:cs="宋体"/>
                <w:color w:val="auto"/>
                <w:kern w:val="0"/>
                <w:sz w:val="24"/>
                <w:szCs w:val="24"/>
                <w:bdr w:val="none" w:color="auto" w:sz="0" w:space="0"/>
                <w:lang w:val="en-US" w:eastAsia="zh-CN" w:bidi="ar"/>
              </w:rPr>
              <w:br w:type="textWrapping"/>
            </w:r>
            <w:r>
              <w:rPr>
                <w:rFonts w:hint="eastAsia" w:ascii="宋体" w:hAnsi="宋体" w:eastAsia="宋体" w:cs="宋体"/>
                <w:color w:val="auto"/>
                <w:kern w:val="0"/>
                <w:sz w:val="24"/>
                <w:szCs w:val="24"/>
                <w:bdr w:val="none" w:color="auto" w:sz="0" w:space="0"/>
                <w:lang w:val="en-US" w:eastAsia="zh-CN" w:bidi="ar"/>
              </w:rPr>
              <w:t>（四）拟对发生法律效力的行政执法决定进行纠正的；</w:t>
            </w:r>
            <w:r>
              <w:rPr>
                <w:rFonts w:hint="eastAsia" w:ascii="宋体" w:hAnsi="宋体" w:eastAsia="宋体" w:cs="宋体"/>
                <w:color w:val="auto"/>
                <w:kern w:val="0"/>
                <w:sz w:val="24"/>
                <w:szCs w:val="24"/>
                <w:bdr w:val="none" w:color="auto" w:sz="0" w:space="0"/>
                <w:lang w:val="en-US" w:eastAsia="zh-CN" w:bidi="ar"/>
              </w:rPr>
              <w:br w:type="textWrapping"/>
            </w:r>
            <w:r>
              <w:rPr>
                <w:rFonts w:hint="eastAsia" w:ascii="宋体" w:hAnsi="宋体" w:eastAsia="宋体" w:cs="宋体"/>
                <w:color w:val="auto"/>
                <w:kern w:val="0"/>
                <w:sz w:val="24"/>
                <w:szCs w:val="24"/>
                <w:bdr w:val="none" w:color="auto" w:sz="0" w:space="0"/>
                <w:lang w:val="en-US" w:eastAsia="zh-CN" w:bidi="ar"/>
              </w:rPr>
              <w:t>（五）拟作出行政赔偿或者不予行政赔偿决定的；</w:t>
            </w:r>
            <w:r>
              <w:rPr>
                <w:rFonts w:hint="eastAsia" w:ascii="宋体" w:hAnsi="宋体" w:eastAsia="宋体" w:cs="宋体"/>
                <w:color w:val="auto"/>
                <w:kern w:val="0"/>
                <w:sz w:val="24"/>
                <w:szCs w:val="24"/>
                <w:bdr w:val="none" w:color="auto" w:sz="0" w:space="0"/>
                <w:lang w:val="en-US" w:eastAsia="zh-CN" w:bidi="ar"/>
              </w:rPr>
              <w:br w:type="textWrapping"/>
            </w:r>
            <w:r>
              <w:rPr>
                <w:rFonts w:hint="eastAsia" w:ascii="宋体" w:hAnsi="宋体" w:eastAsia="宋体" w:cs="宋体"/>
                <w:color w:val="auto"/>
                <w:kern w:val="0"/>
                <w:sz w:val="24"/>
                <w:szCs w:val="24"/>
                <w:bdr w:val="none" w:color="auto" w:sz="0" w:space="0"/>
                <w:lang w:val="en-US" w:eastAsia="zh-CN" w:bidi="ar"/>
              </w:rPr>
              <w:t>（六）法律、法规、规章或者上级文件规定应当进行法制审核的。</w:t>
            </w:r>
          </w:p>
        </w:tc>
        <w:tc>
          <w:tcPr>
            <w:tcW w:w="339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（一）重大行政执法决定的调查终结报告；</w:t>
            </w:r>
            <w:r>
              <w:rPr>
                <w:rFonts w:hint="eastAsia" w:ascii="宋体" w:hAnsi="宋体" w:eastAsia="宋体" w:cs="宋体"/>
                <w:color w:val="auto"/>
                <w:kern w:val="0"/>
                <w:sz w:val="24"/>
                <w:szCs w:val="24"/>
                <w:bdr w:val="none" w:color="auto" w:sz="0" w:space="0"/>
                <w:lang w:val="en-US" w:eastAsia="zh-CN" w:bidi="ar"/>
              </w:rPr>
              <w:br w:type="textWrapping"/>
            </w:r>
            <w:r>
              <w:rPr>
                <w:rFonts w:hint="eastAsia" w:ascii="宋体" w:hAnsi="宋体" w:eastAsia="宋体" w:cs="宋体"/>
                <w:color w:val="auto"/>
                <w:kern w:val="0"/>
                <w:sz w:val="24"/>
                <w:szCs w:val="24"/>
                <w:bdr w:val="none" w:color="auto" w:sz="0" w:space="0"/>
                <w:lang w:val="en-US" w:eastAsia="zh-CN" w:bidi="ar"/>
              </w:rPr>
              <w:t>（二）重大行政执法决定建议或者意见及其情况说明；</w:t>
            </w:r>
            <w:r>
              <w:rPr>
                <w:rFonts w:hint="eastAsia" w:ascii="宋体" w:hAnsi="宋体" w:eastAsia="宋体" w:cs="宋体"/>
                <w:color w:val="auto"/>
                <w:kern w:val="0"/>
                <w:sz w:val="24"/>
                <w:szCs w:val="24"/>
                <w:bdr w:val="none" w:color="auto" w:sz="0" w:space="0"/>
                <w:lang w:val="en-US" w:eastAsia="zh-CN" w:bidi="ar"/>
              </w:rPr>
              <w:br w:type="textWrapping"/>
            </w:r>
            <w:r>
              <w:rPr>
                <w:rFonts w:hint="eastAsia" w:ascii="宋体" w:hAnsi="宋体" w:eastAsia="宋体" w:cs="宋体"/>
                <w:color w:val="auto"/>
                <w:kern w:val="0"/>
                <w:sz w:val="24"/>
                <w:szCs w:val="24"/>
                <w:bdr w:val="none" w:color="auto" w:sz="0" w:space="0"/>
                <w:lang w:val="en-US" w:eastAsia="zh-CN" w:bidi="ar"/>
              </w:rPr>
              <w:t>（三）重大行政执法决定书代拟稿；</w:t>
            </w:r>
            <w:r>
              <w:rPr>
                <w:rFonts w:hint="eastAsia" w:ascii="宋体" w:hAnsi="宋体" w:eastAsia="宋体" w:cs="宋体"/>
                <w:color w:val="auto"/>
                <w:kern w:val="0"/>
                <w:sz w:val="24"/>
                <w:szCs w:val="24"/>
                <w:bdr w:val="none" w:color="auto" w:sz="0" w:space="0"/>
                <w:lang w:val="en-US" w:eastAsia="zh-CN" w:bidi="ar"/>
              </w:rPr>
              <w:br w:type="textWrapping"/>
            </w:r>
            <w:r>
              <w:rPr>
                <w:rFonts w:hint="eastAsia" w:ascii="宋体" w:hAnsi="宋体" w:eastAsia="宋体" w:cs="宋体"/>
                <w:color w:val="auto"/>
                <w:kern w:val="0"/>
                <w:sz w:val="24"/>
                <w:szCs w:val="24"/>
                <w:bdr w:val="none" w:color="auto" w:sz="0" w:space="0"/>
                <w:lang w:val="en-US" w:eastAsia="zh-CN" w:bidi="ar"/>
              </w:rPr>
              <w:t>（四）相关证据资料；</w:t>
            </w:r>
            <w:r>
              <w:rPr>
                <w:rFonts w:hint="eastAsia" w:ascii="宋体" w:hAnsi="宋体" w:eastAsia="宋体" w:cs="宋体"/>
                <w:color w:val="auto"/>
                <w:kern w:val="0"/>
                <w:sz w:val="24"/>
                <w:szCs w:val="24"/>
                <w:bdr w:val="none" w:color="auto" w:sz="0" w:space="0"/>
                <w:lang w:val="en-US" w:eastAsia="zh-CN" w:bidi="ar"/>
              </w:rPr>
              <w:br w:type="textWrapping"/>
            </w:r>
            <w:r>
              <w:rPr>
                <w:rFonts w:hint="eastAsia" w:ascii="宋体" w:hAnsi="宋体" w:eastAsia="宋体" w:cs="宋体"/>
                <w:color w:val="auto"/>
                <w:kern w:val="0"/>
                <w:sz w:val="24"/>
                <w:szCs w:val="24"/>
                <w:bdr w:val="none" w:color="auto" w:sz="0" w:space="0"/>
                <w:lang w:val="en-US" w:eastAsia="zh-CN" w:bidi="ar"/>
              </w:rPr>
              <w:t>（五）经听证或者评估的，还应当提交听证笔录或者评估报告；</w:t>
            </w:r>
            <w:r>
              <w:rPr>
                <w:rFonts w:hint="eastAsia" w:ascii="宋体" w:hAnsi="宋体" w:eastAsia="宋体" w:cs="宋体"/>
                <w:color w:val="auto"/>
                <w:kern w:val="0"/>
                <w:sz w:val="24"/>
                <w:szCs w:val="24"/>
                <w:bdr w:val="none" w:color="auto" w:sz="0" w:space="0"/>
                <w:lang w:val="en-US" w:eastAsia="zh-CN" w:bidi="ar"/>
              </w:rPr>
              <w:br w:type="textWrapping"/>
            </w:r>
            <w:r>
              <w:rPr>
                <w:rFonts w:hint="eastAsia" w:ascii="宋体" w:hAnsi="宋体" w:eastAsia="宋体" w:cs="宋体"/>
                <w:color w:val="auto"/>
                <w:kern w:val="0"/>
                <w:sz w:val="24"/>
                <w:szCs w:val="24"/>
                <w:bdr w:val="none" w:color="auto" w:sz="0" w:space="0"/>
                <w:lang w:val="en-US" w:eastAsia="zh-CN" w:bidi="ar"/>
              </w:rPr>
              <w:t>（六）其他需要提交的材料。</w:t>
            </w:r>
          </w:p>
        </w:tc>
        <w:tc>
          <w:tcPr>
            <w:tcW w:w="405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是否属于重大行政执法决定；行政执法机关主体是否合法，行政执法人员是否具备执法资格；主要事实是否清楚，证据是否确凿、充分；适用法律、法规、规章是否准确；程序是否合法；是否有超越本机关职权范围或滥用职权的情形；行政执法文书是否规范、齐备；其他应当审核的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200" w:hRule="atLeast"/>
        </w:trPr>
        <w:tc>
          <w:tcPr>
            <w:tcW w:w="107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w:t>
            </w:r>
          </w:p>
        </w:tc>
        <w:tc>
          <w:tcPr>
            <w:tcW w:w="1005"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行政处罚类决定</w:t>
            </w:r>
          </w:p>
        </w:tc>
        <w:tc>
          <w:tcPr>
            <w:tcW w:w="484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拟对行政相对人处以5000元以上罚款的行政处罚决定</w:t>
            </w:r>
          </w:p>
        </w:tc>
        <w:tc>
          <w:tcPr>
            <w:tcW w:w="339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《现场笔录》《案件处理意见书》《陈述申辩笔录》《行政处罚决定书（代拟稿）》和相关证据资料</w:t>
            </w:r>
          </w:p>
        </w:tc>
        <w:tc>
          <w:tcPr>
            <w:tcW w:w="405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执法主体是否合法，执法人员是否具备执法资格；主要事实是否清楚，证据是否确凿、充分；适用依据是否准确；处罚裁量是否适当；程序是否合法，是否充分保障行政相对人权利。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50" w:hRule="atLeast"/>
        </w:trPr>
        <w:tc>
          <w:tcPr>
            <w:tcW w:w="107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w:t>
            </w:r>
          </w:p>
        </w:tc>
        <w:tc>
          <w:tcPr>
            <w:tcW w:w="1005"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jc w:val="center"/>
              <w:textAlignment w:val="auto"/>
              <w:rPr>
                <w:rFonts w:hint="eastAsia" w:ascii="宋体" w:hAnsi="宋体" w:eastAsia="宋体" w:cs="宋体"/>
                <w:color w:val="auto"/>
                <w:sz w:val="24"/>
                <w:szCs w:val="24"/>
              </w:rPr>
            </w:pPr>
          </w:p>
        </w:tc>
        <w:tc>
          <w:tcPr>
            <w:tcW w:w="484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拟做出没收违法所得或没收非法财物价值相当于前项规定数额的行政处罚决</w:t>
            </w:r>
            <w:bookmarkStart w:id="0" w:name="_GoBack"/>
            <w:bookmarkEnd w:id="0"/>
            <w:r>
              <w:rPr>
                <w:rFonts w:hint="eastAsia" w:ascii="宋体" w:hAnsi="宋体" w:eastAsia="宋体" w:cs="宋体"/>
                <w:color w:val="auto"/>
                <w:kern w:val="0"/>
                <w:sz w:val="24"/>
                <w:szCs w:val="24"/>
                <w:bdr w:val="none" w:color="auto" w:sz="0" w:space="0"/>
                <w:lang w:val="en-US" w:eastAsia="zh-CN" w:bidi="ar"/>
              </w:rPr>
              <w:t>定；</w:t>
            </w:r>
          </w:p>
        </w:tc>
        <w:tc>
          <w:tcPr>
            <w:tcW w:w="339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《现场笔录》《案件处理意见书》《陈述申辩笔录》《行政罚没决定书（代拟稿）》和相关证据资料</w:t>
            </w:r>
          </w:p>
        </w:tc>
        <w:tc>
          <w:tcPr>
            <w:tcW w:w="405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执法主体是否合法，执法人员是否具备执法资格；主要事实是否清楚，证据是否确凿、充分；适用依据是否准确；裁量是否适当；程序是否合法，是否充分保障行政相对人权利。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15" w:hRule="atLeast"/>
        </w:trPr>
        <w:tc>
          <w:tcPr>
            <w:tcW w:w="107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w:t>
            </w:r>
          </w:p>
        </w:tc>
        <w:tc>
          <w:tcPr>
            <w:tcW w:w="1005"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jc w:val="center"/>
              <w:textAlignment w:val="auto"/>
              <w:rPr>
                <w:rFonts w:hint="eastAsia" w:ascii="宋体" w:hAnsi="宋体" w:eastAsia="宋体" w:cs="宋体"/>
                <w:color w:val="auto"/>
                <w:sz w:val="24"/>
                <w:szCs w:val="24"/>
              </w:rPr>
            </w:pPr>
          </w:p>
        </w:tc>
        <w:tc>
          <w:tcPr>
            <w:tcW w:w="484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拟做出责令停产、停业决定的；</w:t>
            </w:r>
          </w:p>
        </w:tc>
        <w:tc>
          <w:tcPr>
            <w:tcW w:w="339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《现场笔录》《案件处理意见书》《陈述申辩笔录》《听证笔录》《行政处罚决定书（代拟稿）》和相关证据资料</w:t>
            </w:r>
          </w:p>
        </w:tc>
        <w:tc>
          <w:tcPr>
            <w:tcW w:w="405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执法主体是否合法，执法人员是否具备执法资格；主要事实是否清楚，证据是否确凿、充分；适用依据是否准确；裁量是否适当；程序是否合法，是否充分保障行政相对人权利。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05" w:hRule="atLeast"/>
        </w:trPr>
        <w:tc>
          <w:tcPr>
            <w:tcW w:w="107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w:t>
            </w:r>
          </w:p>
        </w:tc>
        <w:tc>
          <w:tcPr>
            <w:tcW w:w="1005"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jc w:val="center"/>
              <w:textAlignment w:val="auto"/>
              <w:rPr>
                <w:rFonts w:hint="eastAsia" w:ascii="宋体" w:hAnsi="宋体" w:eastAsia="宋体" w:cs="宋体"/>
                <w:color w:val="auto"/>
                <w:sz w:val="24"/>
                <w:szCs w:val="24"/>
              </w:rPr>
            </w:pPr>
          </w:p>
        </w:tc>
        <w:tc>
          <w:tcPr>
            <w:tcW w:w="484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吊销许可证决定的</w:t>
            </w:r>
          </w:p>
        </w:tc>
        <w:tc>
          <w:tcPr>
            <w:tcW w:w="339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《现场笔录》《案件处理意见书》《陈述申辩笔录》《听证笔录》《行政处罚决定书（代拟稿）》和相关证据资料</w:t>
            </w:r>
          </w:p>
        </w:tc>
        <w:tc>
          <w:tcPr>
            <w:tcW w:w="405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执法主体是否合法，执法人员是否具备执法资格；主要事实是否清楚，证据是否确凿、充分；适用依据是否准确；裁量是否适当；程序是否合法，是否充分保障行政相对人权利。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33" w:hRule="atLeast"/>
        </w:trPr>
        <w:tc>
          <w:tcPr>
            <w:tcW w:w="107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6</w:t>
            </w:r>
          </w:p>
        </w:tc>
        <w:tc>
          <w:tcPr>
            <w:tcW w:w="1005"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jc w:val="center"/>
              <w:textAlignment w:val="auto"/>
              <w:rPr>
                <w:rFonts w:hint="eastAsia" w:ascii="宋体" w:hAnsi="宋体" w:eastAsia="宋体" w:cs="宋体"/>
                <w:color w:val="auto"/>
                <w:sz w:val="24"/>
                <w:szCs w:val="24"/>
              </w:rPr>
            </w:pPr>
          </w:p>
        </w:tc>
        <w:tc>
          <w:tcPr>
            <w:tcW w:w="484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经听证程序后作出的行政处罚决定；</w:t>
            </w:r>
          </w:p>
        </w:tc>
        <w:tc>
          <w:tcPr>
            <w:tcW w:w="339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《现场笔录》《案件处理意见书》《陈述申辩笔录》《听证笔录》《行政处罚决定书（代拟稿）》和相关证据资料</w:t>
            </w:r>
          </w:p>
        </w:tc>
        <w:tc>
          <w:tcPr>
            <w:tcW w:w="405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执法主体是否合法，执法人员是否具备执法资格；主要事实是否清楚，证据是否确凿、充分；适用依据是否准确；裁量是否适当；程序是否合法，是否充分保障行政相对人权利。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90" w:hRule="atLeast"/>
        </w:trPr>
        <w:tc>
          <w:tcPr>
            <w:tcW w:w="107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7</w:t>
            </w:r>
          </w:p>
        </w:tc>
        <w:tc>
          <w:tcPr>
            <w:tcW w:w="1005"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jc w:val="center"/>
              <w:textAlignment w:val="auto"/>
              <w:rPr>
                <w:rFonts w:hint="eastAsia" w:ascii="宋体" w:hAnsi="宋体" w:eastAsia="宋体" w:cs="宋体"/>
                <w:color w:val="auto"/>
                <w:sz w:val="24"/>
                <w:szCs w:val="24"/>
              </w:rPr>
            </w:pPr>
          </w:p>
        </w:tc>
        <w:tc>
          <w:tcPr>
            <w:tcW w:w="484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拟加重、减轻或免于行政处罚的；</w:t>
            </w:r>
          </w:p>
        </w:tc>
        <w:tc>
          <w:tcPr>
            <w:tcW w:w="339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《现场笔录》《案件处理意见书》《陈述申辩笔录》《行政处罚决定书（代拟稿）》、作出减轻或加重处罚的说明；和相关证据资料</w:t>
            </w:r>
          </w:p>
        </w:tc>
        <w:tc>
          <w:tcPr>
            <w:tcW w:w="405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执法主体是否合法，执法人员是否具备执法资格；主要事实是否清楚，证据是否确凿、充分；适用依据是否准确；作出减轻或加重处罚的事实、证据、依据是否清楚、确凿、适当；程序是否合法，是否充分保障行政相对人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35" w:hRule="atLeast"/>
        </w:trPr>
        <w:tc>
          <w:tcPr>
            <w:tcW w:w="107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8</w:t>
            </w:r>
          </w:p>
        </w:tc>
        <w:tc>
          <w:tcPr>
            <w:tcW w:w="1005"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jc w:val="center"/>
              <w:textAlignment w:val="auto"/>
              <w:rPr>
                <w:rFonts w:hint="eastAsia" w:ascii="宋体" w:hAnsi="宋体" w:eastAsia="宋体" w:cs="宋体"/>
                <w:color w:val="auto"/>
                <w:sz w:val="24"/>
                <w:szCs w:val="24"/>
              </w:rPr>
            </w:pPr>
          </w:p>
        </w:tc>
        <w:tc>
          <w:tcPr>
            <w:tcW w:w="484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案件承办机构负责人认为应当提请法治审核的其他重大、复杂、疑难的行政处罚决定。</w:t>
            </w:r>
          </w:p>
        </w:tc>
        <w:tc>
          <w:tcPr>
            <w:tcW w:w="339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《现场笔录》《案件处理意见书》《陈述申辩笔录》《行政处罚决定书（代拟稿）》情况说明和相关证据资料</w:t>
            </w:r>
          </w:p>
        </w:tc>
        <w:tc>
          <w:tcPr>
            <w:tcW w:w="405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执法主体是否合法，执法人员是否具备执法资格；主要事实是否清楚，证据是否确凿、充分；适用依据是否准确；处罚裁量是否适当；程序是否合法，是否充分保障行政相对人权利。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20" w:hRule="atLeast"/>
        </w:trPr>
        <w:tc>
          <w:tcPr>
            <w:tcW w:w="1070"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9</w:t>
            </w:r>
          </w:p>
        </w:tc>
        <w:tc>
          <w:tcPr>
            <w:tcW w:w="1005"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其他类</w:t>
            </w:r>
          </w:p>
        </w:tc>
        <w:tc>
          <w:tcPr>
            <w:tcW w:w="484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行政执法决定涉嫌犯罪需要移送司法机关的</w:t>
            </w:r>
          </w:p>
        </w:tc>
        <w:tc>
          <w:tcPr>
            <w:tcW w:w="339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《行政处罚案件处理内部审批表》《行政违法案件移送函》（代拟稿）和案件处理意见书、涉嫌犯罪案件有关材料、涉案物品清单</w:t>
            </w:r>
          </w:p>
        </w:tc>
        <w:tc>
          <w:tcPr>
            <w:tcW w:w="405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涉嫌犯罪的事实是否清楚，证据是否确凿、充分，适用依据是否准确；调查办案程序是否合法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2" w:hRule="atLeast"/>
        </w:trPr>
        <w:tc>
          <w:tcPr>
            <w:tcW w:w="1070"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textAlignment w:val="auto"/>
              <w:rPr>
                <w:rFonts w:hint="eastAsia" w:ascii="宋体" w:hAnsi="宋体" w:eastAsia="宋体" w:cs="宋体"/>
                <w:color w:val="auto"/>
                <w:sz w:val="24"/>
                <w:szCs w:val="24"/>
              </w:rPr>
            </w:pPr>
          </w:p>
        </w:tc>
        <w:tc>
          <w:tcPr>
            <w:tcW w:w="1005"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textAlignment w:val="auto"/>
              <w:rPr>
                <w:rFonts w:hint="eastAsia" w:ascii="宋体" w:hAnsi="宋体" w:eastAsia="宋体" w:cs="宋体"/>
                <w:color w:val="auto"/>
                <w:sz w:val="24"/>
                <w:szCs w:val="24"/>
              </w:rPr>
            </w:pPr>
          </w:p>
        </w:tc>
        <w:tc>
          <w:tcPr>
            <w:tcW w:w="484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规范性文件</w:t>
            </w:r>
          </w:p>
        </w:tc>
        <w:tc>
          <w:tcPr>
            <w:tcW w:w="339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草拟材料、设定依据材料</w:t>
            </w:r>
          </w:p>
        </w:tc>
        <w:tc>
          <w:tcPr>
            <w:tcW w:w="405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规范性文件制定主体是否合法、规范范围是否明确内容是否符合宪法、法律、法规、规章和国家政策；是否违法创设行政许可、行政处罚、行政强制、行政征收、行政收费等事项；是否存在没有法律、法规依据作出减损公民、法人和其他组织合法权益或者增加其义务的情形；是否存在没有法律、法规依据作出增加本单位权力或者减少本单位法定职责的情形；是否违反规范性文件制定程序等。</w:t>
            </w:r>
          </w:p>
        </w:tc>
      </w:tr>
    </w:tbl>
    <w:p/>
    <w:sectPr>
      <w:pgSz w:w="16838" w:h="11906" w:orient="landscape"/>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ZTcxMmUyMjllNTg0YWIyMTA1MmMyYTQ2YjJmNjQifQ=="/>
  </w:docVars>
  <w:rsids>
    <w:rsidRoot w:val="00000000"/>
    <w:rsid w:val="3A892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2022-11-19T10:19:10Z</dcterms:created>
  <dc:creator>Administrator</dc:creator>
  <cp:lastModifiedBy>常天亮</cp:lastModifiedBy>
  <dcterms:modified xsi:type="dcterms:W3CDTF">2022-11-19T10:24:43Z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6BE9D3588A1540238C642A04F651D00C</vt:lpwstr>
  </property>
</Properties>
</file>