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29" w:type="dxa"/>
        <w:tblInd w:w="-3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65"/>
        <w:gridCol w:w="1248"/>
        <w:gridCol w:w="2189"/>
        <w:gridCol w:w="3823"/>
        <w:gridCol w:w="924"/>
        <w:gridCol w:w="345"/>
        <w:gridCol w:w="1455"/>
        <w:gridCol w:w="824"/>
        <w:gridCol w:w="556"/>
        <w:gridCol w:w="1068"/>
        <w:gridCol w:w="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865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附件3</w:t>
            </w:r>
          </w:p>
        </w:tc>
        <w:tc>
          <w:tcPr>
            <w:tcW w:w="1248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89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3823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60" w:hRule="atLeast"/>
        </w:trPr>
        <w:tc>
          <w:tcPr>
            <w:tcW w:w="14029" w:type="dxa"/>
            <w:gridSpan w:val="11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48"/>
                <w:u w:val="none"/>
                <w:lang w:val="en-US" w:eastAsia="zh-CN"/>
              </w:rPr>
              <w:t>应县农业农村局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  <w:t>随机抽查事项清单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5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抽查事项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检查依据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检查内容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检查方式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适用对象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抽查比例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抽查频次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4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农药生产经营监督检查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《中华人民共和国农药管理条例》《农药管理条例实施办法》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农药经营户是否按要求进行经营，对违反“规定”的行为是否按要求进行整改纠正；农药经营户对经营的产品是否都到县农业部门进行告知，农药安全风险事件是否及时上报，农药药害是否妥善处理。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定期抽查和不定期抽查相结合的方式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生产企业、经营企业及经营门店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生产企业20%； 经营企业3%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2次/年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农作物种子生产经营监督检查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《中华人民共和国种子法》《农作物种子标签管理办法》《山西省农作物种子条例》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（一）许可资格：许可证是否在有效期内，发生变更是否按规定及时办理变更手续；种子生产经营者是否持续具备规定的许可条件，是否超许可范围生产经营；主要检验、加工、包装、仓储等设备设施是否符合许可条件，涉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计量的检验、包装仪器设备检定情况。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（二）质量管理：种子生产经营管理体系运行情况，管理制度、责任制度和操作规程执行情况，使用的法规、规范、标准是否齐全并现行有效，种子生产经营活动记录和技术档案，种子质量事故应急措施和处理预案。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（三）是否能够按照《种子法》的规定生产经营。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定期抽查和不定期抽查相结合的方式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生产企业、经营企业及经营门店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生产企业20%； 经营企业3%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</w:rPr>
              <w:t>2次/年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肥料生产经营监督管理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《肥料登记管理办法》《山西省肥料管理办法》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生产、销售未取得登记证的肥料产品；假冒、伪造肥料登记证、登记证号的；生产、销售的肥料产品有效成分或含量与登记批准的内容不符的；转让肥料登记证或登记证号的；登记证有效期满未经批准续展登记而继续生产该肥料产品的；生产、销售包装上未附标签、标签残缺不清或者擅自修改标签内容的。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定期抽查和不定期抽查相结合的方式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生产企业、经营企业及经营门店</w:t>
            </w:r>
          </w:p>
        </w:tc>
        <w:tc>
          <w:tcPr>
            <w:tcW w:w="55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生产企业20%； 经营企业3%</w:t>
            </w:r>
          </w:p>
        </w:tc>
        <w:tc>
          <w:tcPr>
            <w:tcW w:w="1068" w:type="dxa"/>
            <w:tcBorders>
              <w:lef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2次/年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4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植物检疫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根据1992年5月13日《国务院关于修改&lt;植物检疫条例&gt;的决定》第三条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是否申请办理种苗产地检疫、调运检疫手续；引种单位是否按规定进行隔离试种；发现疫情是否及时向当地植物检疫机构报告；贯彻落实《植物检疫条例》、《植物检疫条例实施细则》等。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定期抽查和不定期抽查相结合的方式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生产企业、经营企业及经营门店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生产企业20%； 经营企业3%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</w:rPr>
              <w:t>2次/年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4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农产品质量安全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《农产品质量安全监测管理办法》第三条、第四条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农产品生产单位生产的农产品开展风险监测和监督抽查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定期抽查和不定期抽查相结合的方式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生产企业、经营企业及经营门店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生产企业20%； 经营企业3%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</w:rPr>
              <w:t>2次/年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无公害农产品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《无公害农产品管理办法》（2002年农业部、质检总局第12号令）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无公害农产品的产地认定证书、产品认证证书、标志和产品质量开展风险监测和监督抽查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定期抽查和不定期抽查相结合的方式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生产企业、经营企业及经营门店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生产企业20%； 经营企业3%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2次/年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农业转基因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《农业转基因生物安全管理条例》（2001年国务院令第304号）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转基因生物的生产、经营单位和个人开展风险监测和监督抽查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定期抽查和不定期抽查相结合的方式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生产企业、经营企业及经营门店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生产企业20%； 经营企业3%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2次/年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植物新品种保护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《中华人民共和国植物新品种保护条例》（1997年国务院令第213号,2013年修订）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对假冒、销售未注册登记的授权植物品种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定期抽查和不定期抽查相结合的方式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生产企业、经营企业及经营门店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生产企业20%； 经营企业3%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2次/年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D6D07"/>
    <w:rsid w:val="531D7242"/>
    <w:rsid w:val="67B0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2019-08-30T02:38:00Z</dcterms:created>
  <dc:creator>lenovo</dc:creator>
  <cp:lastModifiedBy>风云争霸</cp:lastModifiedBy>
  <cp:lastPrinted>2019-08-30T02:40:00Z</cp:lastPrinted>
  <dcterms:modified xsi:type="dcterms:W3CDTF">2020-04-21T09:19:22Z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