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94C546">
      <w:pPr>
        <w:widowControl/>
        <w:spacing w:line="600" w:lineRule="exact"/>
        <w:ind w:firstLine="880" w:firstLineChars="200"/>
        <w:jc w:val="both"/>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山西省</w:t>
      </w:r>
      <w:bookmarkStart w:id="2" w:name="_GoBack"/>
      <w:r>
        <w:rPr>
          <w:rFonts w:hint="default" w:ascii="Times New Roman" w:hAnsi="Times New Roman" w:eastAsia="方正小标宋简体" w:cs="Times New Roman"/>
          <w:color w:val="auto"/>
          <w:sz w:val="44"/>
          <w:szCs w:val="44"/>
          <w:highlight w:val="none"/>
        </w:rPr>
        <w:t>市场监管</w:t>
      </w:r>
      <w:r>
        <w:rPr>
          <w:rFonts w:hint="default" w:ascii="Times New Roman" w:hAnsi="Times New Roman" w:eastAsia="方正小标宋简体" w:cs="Times New Roman"/>
          <w:color w:val="auto"/>
          <w:sz w:val="44"/>
          <w:szCs w:val="44"/>
          <w:highlight w:val="none"/>
          <w:lang w:eastAsia="zh-CN"/>
        </w:rPr>
        <w:t>部门轻微违法不予处罚</w:t>
      </w:r>
    </w:p>
    <w:p w14:paraId="050A6B1D">
      <w:pPr>
        <w:widowControl/>
        <w:spacing w:line="60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eastAsia="zh-CN"/>
        </w:rPr>
        <w:t>事项目录</w:t>
      </w:r>
      <w:bookmarkEnd w:id="2"/>
      <w:r>
        <w:rPr>
          <w:rFonts w:hint="default" w:ascii="Times New Roman" w:hAnsi="Times New Roman" w:eastAsia="方正小标宋简体" w:cs="Times New Roman"/>
          <w:color w:val="auto"/>
          <w:sz w:val="44"/>
          <w:szCs w:val="44"/>
          <w:highlight w:val="none"/>
        </w:rPr>
        <w:t>（</w:t>
      </w:r>
      <w:r>
        <w:rPr>
          <w:rFonts w:hint="default" w:ascii="Times New Roman" w:hAnsi="Times New Roman" w:eastAsia="方正小标宋简体" w:cs="Times New Roman"/>
          <w:color w:val="auto"/>
          <w:sz w:val="44"/>
          <w:szCs w:val="44"/>
          <w:highlight w:val="none"/>
          <w:lang w:val="en-US" w:eastAsia="zh-CN"/>
        </w:rPr>
        <w:t>2023版</w:t>
      </w:r>
      <w:r>
        <w:rPr>
          <w:rFonts w:hint="default" w:ascii="Times New Roman" w:hAnsi="Times New Roman" w:eastAsia="方正小标宋简体" w:cs="Times New Roman"/>
          <w:color w:val="auto"/>
          <w:sz w:val="44"/>
          <w:szCs w:val="44"/>
          <w:highlight w:val="none"/>
        </w:rPr>
        <w:t>）</w:t>
      </w:r>
    </w:p>
    <w:p w14:paraId="47590602">
      <w:pPr>
        <w:widowControl/>
        <w:spacing w:line="400" w:lineRule="exact"/>
        <w:jc w:val="both"/>
        <w:rPr>
          <w:rFonts w:hint="eastAsia" w:ascii="Times New Roman" w:hAnsi="Times New Roman" w:eastAsia="方正小标宋简体" w:cs="方正小标宋简体"/>
          <w:color w:val="auto"/>
          <w:sz w:val="44"/>
          <w:szCs w:val="44"/>
          <w:highlight w:val="none"/>
        </w:rPr>
      </w:pPr>
    </w:p>
    <w:p w14:paraId="5B9F7FA6">
      <w:pPr>
        <w:keepNext w:val="0"/>
        <w:keepLines w:val="0"/>
        <w:pageBreakBefore w:val="0"/>
        <w:widowControl w:val="0"/>
        <w:numPr>
          <w:ilvl w:val="0"/>
          <w:numId w:val="0"/>
        </w:numPr>
        <w:spacing w:line="560" w:lineRule="exact"/>
        <w:ind w:firstLine="640"/>
        <w:jc w:val="both"/>
        <w:rPr>
          <w:rStyle w:val="184"/>
          <w:rFonts w:hint="default" w:ascii="Times New Roman" w:hAnsi="Times New Roman" w:eastAsia="CESI黑体-GB2312" w:cs="Times New Roman"/>
          <w:b w:val="0"/>
          <w:bCs w:val="0"/>
          <w:color w:val="auto"/>
          <w:sz w:val="32"/>
          <w:szCs w:val="32"/>
          <w:highlight w:val="none"/>
          <w:lang w:eastAsia="zh-CN"/>
        </w:rPr>
      </w:pPr>
      <w:r>
        <w:rPr>
          <w:rStyle w:val="184"/>
          <w:rFonts w:hint="default" w:ascii="Times New Roman" w:hAnsi="Times New Roman" w:eastAsia="CESI黑体-GB2312" w:cs="Times New Roman"/>
          <w:b w:val="0"/>
          <w:bCs w:val="0"/>
          <w:color w:val="auto"/>
          <w:sz w:val="32"/>
          <w:szCs w:val="32"/>
          <w:highlight w:val="none"/>
          <w:lang w:eastAsia="zh-CN"/>
        </w:rPr>
        <w:t>一、下列</w:t>
      </w:r>
      <w:r>
        <w:rPr>
          <w:rStyle w:val="184"/>
          <w:rFonts w:hint="default" w:ascii="Times New Roman" w:hAnsi="Times New Roman" w:eastAsia="CESI黑体-GB2312" w:cs="Times New Roman"/>
          <w:b w:val="0"/>
          <w:bCs w:val="0"/>
          <w:color w:val="auto"/>
          <w:sz w:val="32"/>
          <w:szCs w:val="32"/>
          <w:highlight w:val="none"/>
          <w:lang w:val="en-US" w:eastAsia="zh-CN"/>
        </w:rPr>
        <w:t>50个事项，法律规范</w:t>
      </w:r>
      <w:r>
        <w:rPr>
          <w:rStyle w:val="184"/>
          <w:rFonts w:hint="default" w:ascii="Times New Roman" w:hAnsi="Times New Roman" w:eastAsia="CESI黑体-GB2312" w:cs="Times New Roman"/>
          <w:b w:val="0"/>
          <w:bCs w:val="0"/>
          <w:color w:val="auto"/>
          <w:sz w:val="32"/>
          <w:szCs w:val="32"/>
          <w:highlight w:val="none"/>
          <w:lang w:eastAsia="zh-CN"/>
        </w:rPr>
        <w:t>明确要求先“责令改正”，构成“拒不改正”、“逾期不改正”等情形才予以处罚的，行政机关未经“责令改正”不得给予行政处罚。</w:t>
      </w:r>
    </w:p>
    <w:p w14:paraId="422BA624">
      <w:pPr>
        <w:keepNext w:val="0"/>
        <w:keepLines w:val="0"/>
        <w:pageBreakBefore w:val="0"/>
        <w:widowControl w:val="0"/>
        <w:numPr>
          <w:ilvl w:val="0"/>
          <w:numId w:val="0"/>
        </w:numPr>
        <w:spacing w:line="560" w:lineRule="exact"/>
        <w:ind w:firstLine="640"/>
        <w:jc w:val="both"/>
        <w:rPr>
          <w:rStyle w:val="184"/>
          <w:rFonts w:hint="default" w:ascii="Times New Roman" w:hAnsi="Times New Roman" w:eastAsia="CESI黑体-GB2312" w:cs="Times New Roman"/>
          <w:b w:val="0"/>
          <w:bCs w:val="0"/>
          <w:color w:val="auto"/>
          <w:sz w:val="32"/>
          <w:szCs w:val="32"/>
          <w:highlight w:val="none"/>
          <w:lang w:eastAsia="zh-CN"/>
        </w:rPr>
      </w:pPr>
      <w:r>
        <w:rPr>
          <w:rStyle w:val="184"/>
          <w:rFonts w:hint="default" w:ascii="Times New Roman" w:hAnsi="Times New Roman" w:eastAsia="CESI黑体-GB2312" w:cs="Times New Roman"/>
          <w:b w:val="0"/>
          <w:bCs w:val="0"/>
          <w:color w:val="auto"/>
          <w:sz w:val="32"/>
          <w:szCs w:val="32"/>
          <w:highlight w:val="none"/>
          <w:lang w:eastAsia="zh-CN"/>
        </w:rPr>
        <w:t>规范适用此类事项，应当满足以下条件：</w:t>
      </w:r>
      <w:r>
        <w:rPr>
          <w:rStyle w:val="184"/>
          <w:rFonts w:hint="default" w:ascii="Times New Roman" w:hAnsi="Times New Roman" w:eastAsia="CESI黑体-GB2312" w:cs="Times New Roman"/>
          <w:b w:val="0"/>
          <w:bCs w:val="0"/>
          <w:color w:val="auto"/>
          <w:sz w:val="32"/>
          <w:szCs w:val="32"/>
          <w:highlight w:val="none"/>
          <w:lang w:val="en-US" w:eastAsia="zh-CN"/>
        </w:rPr>
        <w:t>1.调查时未改正的需</w:t>
      </w:r>
      <w:r>
        <w:rPr>
          <w:rStyle w:val="184"/>
          <w:rFonts w:hint="default" w:ascii="Times New Roman" w:hAnsi="Times New Roman" w:eastAsia="CESI黑体-GB2312" w:cs="Times New Roman"/>
          <w:b w:val="0"/>
          <w:bCs w:val="0"/>
          <w:color w:val="auto"/>
          <w:sz w:val="32"/>
          <w:szCs w:val="32"/>
          <w:highlight w:val="none"/>
          <w:lang w:eastAsia="zh-CN"/>
        </w:rPr>
        <w:t>书面下达《责令改正通知书》，并设置合理的改正期限；</w:t>
      </w:r>
      <w:r>
        <w:rPr>
          <w:rStyle w:val="184"/>
          <w:rFonts w:hint="default" w:ascii="Times New Roman" w:hAnsi="Times New Roman" w:eastAsia="CESI黑体-GB2312" w:cs="Times New Roman"/>
          <w:b w:val="0"/>
          <w:bCs w:val="0"/>
          <w:color w:val="auto"/>
          <w:sz w:val="32"/>
          <w:szCs w:val="32"/>
          <w:highlight w:val="none"/>
          <w:lang w:val="en-US" w:eastAsia="zh-CN"/>
        </w:rPr>
        <w:t>2.当事人调查前</w:t>
      </w:r>
      <w:r>
        <w:rPr>
          <w:rStyle w:val="184"/>
          <w:rFonts w:hint="default" w:ascii="Times New Roman" w:hAnsi="Times New Roman" w:eastAsia="CESI黑体-GB2312" w:cs="Times New Roman"/>
          <w:b w:val="0"/>
          <w:bCs w:val="0"/>
          <w:color w:val="auto"/>
          <w:sz w:val="32"/>
          <w:szCs w:val="32"/>
          <w:highlight w:val="none"/>
          <w:lang w:eastAsia="zh-CN"/>
        </w:rPr>
        <w:t>已主动改正或经责令改正后改正的，行政机关要通过现场笔录、鉴定书、询问笔录等方式，说明并确认改正情况，作为不予处罚（或不予立案）的证据入卷归档。</w:t>
      </w:r>
    </w:p>
    <w:p w14:paraId="0CF00B23">
      <w:pPr>
        <w:keepNext w:val="0"/>
        <w:keepLines w:val="0"/>
        <w:pageBreakBefore w:val="0"/>
        <w:widowControl w:val="0"/>
        <w:numPr>
          <w:ilvl w:val="0"/>
          <w:numId w:val="0"/>
        </w:numPr>
        <w:spacing w:line="560" w:lineRule="exact"/>
        <w:jc w:val="both"/>
        <w:rPr>
          <w:rStyle w:val="184"/>
          <w:rFonts w:hint="default" w:ascii="Times New Roman" w:hAnsi="Times New Roman" w:eastAsia="CESI黑体-GB2312" w:cs="Times New Roman"/>
          <w:b w:val="0"/>
          <w:bCs w:val="0"/>
          <w:color w:val="auto"/>
          <w:sz w:val="32"/>
          <w:szCs w:val="32"/>
          <w:highlight w:val="none"/>
          <w:lang w:eastAsia="zh-CN"/>
        </w:rPr>
      </w:pPr>
    </w:p>
    <w:tbl>
      <w:tblPr>
        <w:tblStyle w:val="30"/>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592"/>
        <w:gridCol w:w="1399"/>
        <w:gridCol w:w="5321"/>
      </w:tblGrid>
      <w:tr w14:paraId="3207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307" w:type="pct"/>
            <w:noWrap w:val="0"/>
            <w:vAlign w:val="center"/>
          </w:tcPr>
          <w:p w14:paraId="5E602B8C">
            <w:pPr>
              <w:widowControl/>
              <w:spacing w:line="280" w:lineRule="exact"/>
              <w:jc w:val="center"/>
              <w:rPr>
                <w:rFonts w:hint="eastAsia" w:ascii="CESI黑体-GB2312" w:hAnsi="CESI黑体-GB2312" w:eastAsia="CESI黑体-GB2312" w:cs="CESI黑体-GB2312"/>
                <w:b w:val="0"/>
                <w:bCs w:val="0"/>
                <w:color w:val="auto"/>
                <w:sz w:val="21"/>
                <w:szCs w:val="21"/>
                <w:highlight w:val="none"/>
                <w:lang w:val="en-US" w:eastAsia="zh-CN" w:bidi="ar-SA"/>
              </w:rPr>
            </w:pPr>
            <w:r>
              <w:rPr>
                <w:rFonts w:hint="eastAsia" w:ascii="CESI黑体-GB2312" w:hAnsi="CESI黑体-GB2312" w:eastAsia="CESI黑体-GB2312" w:cs="CESI黑体-GB2312"/>
                <w:b w:val="0"/>
                <w:bCs w:val="0"/>
                <w:color w:val="auto"/>
                <w:sz w:val="21"/>
                <w:szCs w:val="21"/>
                <w:highlight w:val="none"/>
                <w:lang w:eastAsia="zh-CN"/>
              </w:rPr>
              <w:t>序号</w:t>
            </w:r>
          </w:p>
        </w:tc>
        <w:tc>
          <w:tcPr>
            <w:tcW w:w="898" w:type="pct"/>
            <w:noWrap w:val="0"/>
            <w:vAlign w:val="center"/>
          </w:tcPr>
          <w:p w14:paraId="5C75A2D5">
            <w:pPr>
              <w:widowControl/>
              <w:spacing w:line="280" w:lineRule="exact"/>
              <w:jc w:val="center"/>
              <w:rPr>
                <w:rFonts w:hint="eastAsia" w:ascii="CESI黑体-GB2312" w:hAnsi="CESI黑体-GB2312" w:eastAsia="CESI黑体-GB2312" w:cs="CESI黑体-GB2312"/>
                <w:color w:val="auto"/>
                <w:sz w:val="21"/>
                <w:szCs w:val="21"/>
                <w:highlight w:val="none"/>
                <w:lang w:val="en-US" w:eastAsia="zh-CN" w:bidi="ar-SA"/>
              </w:rPr>
            </w:pPr>
            <w:r>
              <w:rPr>
                <w:rFonts w:hint="eastAsia" w:ascii="CESI黑体-GB2312" w:hAnsi="CESI黑体-GB2312" w:eastAsia="CESI黑体-GB2312" w:cs="CESI黑体-GB2312"/>
                <w:b w:val="0"/>
                <w:bCs w:val="0"/>
                <w:color w:val="auto"/>
                <w:sz w:val="21"/>
                <w:szCs w:val="21"/>
                <w:highlight w:val="none"/>
                <w:lang w:val="en-US" w:eastAsia="zh-CN"/>
              </w:rPr>
              <w:t>违法事项</w:t>
            </w:r>
          </w:p>
        </w:tc>
        <w:tc>
          <w:tcPr>
            <w:tcW w:w="789" w:type="pct"/>
            <w:noWrap w:val="0"/>
            <w:vAlign w:val="center"/>
          </w:tcPr>
          <w:p w14:paraId="7A1E97C6">
            <w:pPr>
              <w:widowControl/>
              <w:spacing w:line="280" w:lineRule="exact"/>
              <w:jc w:val="center"/>
              <w:rPr>
                <w:rFonts w:hint="eastAsia" w:ascii="CESI黑体-GB2312" w:hAnsi="CESI黑体-GB2312" w:eastAsia="CESI黑体-GB2312" w:cs="CESI黑体-GB2312"/>
                <w:b w:val="0"/>
                <w:bCs w:val="0"/>
                <w:color w:val="auto"/>
                <w:sz w:val="21"/>
                <w:szCs w:val="21"/>
                <w:highlight w:val="none"/>
              </w:rPr>
            </w:pPr>
            <w:r>
              <w:rPr>
                <w:rFonts w:hint="eastAsia" w:ascii="CESI黑体-GB2312" w:hAnsi="CESI黑体-GB2312" w:eastAsia="CESI黑体-GB2312" w:cs="CESI黑体-GB2312"/>
                <w:b w:val="0"/>
                <w:bCs w:val="0"/>
                <w:color w:val="auto"/>
                <w:sz w:val="21"/>
                <w:szCs w:val="21"/>
                <w:highlight w:val="none"/>
                <w:lang w:eastAsia="zh-CN"/>
              </w:rPr>
              <w:t>不</w:t>
            </w:r>
            <w:r>
              <w:rPr>
                <w:rFonts w:hint="eastAsia" w:ascii="CESI黑体-GB2312" w:hAnsi="CESI黑体-GB2312" w:eastAsia="CESI黑体-GB2312" w:cs="CESI黑体-GB2312"/>
                <w:b w:val="0"/>
                <w:bCs w:val="0"/>
                <w:color w:val="auto"/>
                <w:sz w:val="21"/>
                <w:szCs w:val="21"/>
                <w:highlight w:val="none"/>
              </w:rPr>
              <w:t>予处罚</w:t>
            </w:r>
          </w:p>
          <w:p w14:paraId="077431DC">
            <w:pPr>
              <w:widowControl/>
              <w:spacing w:line="280" w:lineRule="exact"/>
              <w:jc w:val="center"/>
              <w:rPr>
                <w:rFonts w:hint="eastAsia" w:ascii="CESI黑体-GB2312" w:hAnsi="CESI黑体-GB2312" w:eastAsia="CESI黑体-GB2312" w:cs="CESI黑体-GB2312"/>
                <w:color w:val="auto"/>
                <w:sz w:val="21"/>
                <w:szCs w:val="21"/>
                <w:highlight w:val="none"/>
                <w:lang w:val="en-US" w:eastAsia="zh-CN" w:bidi="ar-SA"/>
              </w:rPr>
            </w:pPr>
            <w:r>
              <w:rPr>
                <w:rFonts w:hint="eastAsia" w:ascii="CESI黑体-GB2312" w:hAnsi="CESI黑体-GB2312" w:eastAsia="CESI黑体-GB2312" w:cs="CESI黑体-GB2312"/>
                <w:b w:val="0"/>
                <w:bCs w:val="0"/>
                <w:color w:val="auto"/>
                <w:sz w:val="21"/>
                <w:szCs w:val="21"/>
                <w:highlight w:val="none"/>
              </w:rPr>
              <w:t>条件</w:t>
            </w:r>
          </w:p>
        </w:tc>
        <w:tc>
          <w:tcPr>
            <w:tcW w:w="3004" w:type="pct"/>
            <w:noWrap w:val="0"/>
            <w:vAlign w:val="center"/>
          </w:tcPr>
          <w:p w14:paraId="3E451F61">
            <w:pPr>
              <w:widowControl/>
              <w:spacing w:line="280" w:lineRule="exact"/>
              <w:jc w:val="center"/>
              <w:rPr>
                <w:rFonts w:hint="eastAsia" w:ascii="CESI黑体-GB2312" w:hAnsi="CESI黑体-GB2312" w:eastAsia="CESI黑体-GB2312" w:cs="CESI黑体-GB2312"/>
                <w:b w:val="0"/>
                <w:bCs w:val="0"/>
                <w:color w:val="auto"/>
                <w:sz w:val="21"/>
                <w:szCs w:val="21"/>
                <w:highlight w:val="none"/>
                <w:u w:val="none"/>
                <w:lang w:val="en-US" w:eastAsia="zh-CN" w:bidi="ar-SA"/>
              </w:rPr>
            </w:pPr>
            <w:r>
              <w:rPr>
                <w:rFonts w:hint="eastAsia" w:ascii="CESI黑体-GB2312" w:hAnsi="CESI黑体-GB2312" w:eastAsia="CESI黑体-GB2312" w:cs="CESI黑体-GB2312"/>
                <w:b w:val="0"/>
                <w:bCs w:val="0"/>
                <w:color w:val="auto"/>
                <w:sz w:val="21"/>
                <w:szCs w:val="21"/>
                <w:highlight w:val="none"/>
              </w:rPr>
              <w:t>法律依据</w:t>
            </w:r>
          </w:p>
        </w:tc>
      </w:tr>
      <w:tr w14:paraId="69F3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307" w:type="pct"/>
            <w:noWrap w:val="0"/>
            <w:vAlign w:val="center"/>
          </w:tcPr>
          <w:p w14:paraId="51B04962">
            <w:pPr>
              <w:widowControl/>
              <w:spacing w:line="280" w:lineRule="exact"/>
              <w:jc w:val="center"/>
              <w:rPr>
                <w:rFonts w:hint="eastAsia"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1</w:t>
            </w:r>
          </w:p>
        </w:tc>
        <w:tc>
          <w:tcPr>
            <w:tcW w:w="898" w:type="pct"/>
            <w:noWrap w:val="0"/>
            <w:vAlign w:val="center"/>
          </w:tcPr>
          <w:p w14:paraId="3B996740">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rPr>
            </w:pPr>
            <w:r>
              <w:rPr>
                <w:rFonts w:hint="eastAsia" w:ascii="Times New Roman" w:hAnsi="Times New Roman" w:eastAsia="仿宋_GB2312" w:cs="仿宋_GB2312"/>
                <w:strike w:val="0"/>
                <w:color w:val="auto"/>
                <w:sz w:val="21"/>
                <w:szCs w:val="21"/>
                <w:highlight w:val="none"/>
              </w:rPr>
              <w:t>取得生产许可证的企业未依照规定在产品、包装或说明书上标注生产许可证标志和编号的</w:t>
            </w:r>
          </w:p>
        </w:tc>
        <w:tc>
          <w:tcPr>
            <w:tcW w:w="789" w:type="pct"/>
            <w:noWrap w:val="0"/>
            <w:vAlign w:val="center"/>
          </w:tcPr>
          <w:p w14:paraId="26DDA1F5">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26C21282">
            <w:pPr>
              <w:keepNext w:val="0"/>
              <w:keepLines w:val="0"/>
              <w:pageBreakBefore w:val="0"/>
              <w:widowControl/>
              <w:spacing w:line="280" w:lineRule="exac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《中华人民共和国工业产品生产许可证管理条例》</w:t>
            </w:r>
            <w:r>
              <w:rPr>
                <w:rStyle w:val="185"/>
                <w:rFonts w:hint="eastAsia" w:ascii="Times New Roman" w:hAnsi="Times New Roman" w:eastAsia="仿宋_GB2312" w:cs="仿宋_GB2312"/>
                <w:strike w:val="0"/>
                <w:color w:val="auto"/>
                <w:sz w:val="21"/>
                <w:szCs w:val="21"/>
                <w:highlight w:val="none"/>
              </w:rPr>
              <w:t>第三十三条第一款 企业必须在其产品或者包装、说明书上标注生产许可证标志和编号。</w:t>
            </w:r>
          </w:p>
          <w:p w14:paraId="286F7CC2">
            <w:pPr>
              <w:keepNext w:val="0"/>
              <w:keepLines w:val="0"/>
              <w:pageBreakBefore w:val="0"/>
              <w:widowControl/>
              <w:spacing w:line="280" w:lineRule="exact"/>
              <w:rPr>
                <w:rFonts w:hint="eastAsia" w:ascii="Times New Roman" w:hAnsi="Times New Roman" w:eastAsia="仿宋_GB2312" w:cs="仿宋_GB2312"/>
                <w:b/>
                <w:bCs/>
                <w:strike w:val="0"/>
                <w:color w:val="auto"/>
                <w:sz w:val="21"/>
                <w:szCs w:val="21"/>
                <w:highlight w:val="none"/>
              </w:rPr>
            </w:pPr>
            <w:r>
              <w:rPr>
                <w:rStyle w:val="185"/>
                <w:rFonts w:hint="eastAsia" w:ascii="Times New Roman" w:hAnsi="Times New Roman" w:eastAsia="仿宋_GB2312" w:cs="仿宋_GB2312"/>
                <w:strike w:val="0"/>
                <w:color w:val="auto"/>
                <w:sz w:val="21"/>
                <w:szCs w:val="21"/>
                <w:highlight w:val="none"/>
              </w:rPr>
              <w:t>第四十七条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r>
      <w:tr w14:paraId="3E91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307" w:type="pct"/>
            <w:noWrap w:val="0"/>
            <w:vAlign w:val="center"/>
          </w:tcPr>
          <w:p w14:paraId="1197F416">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2</w:t>
            </w:r>
          </w:p>
        </w:tc>
        <w:tc>
          <w:tcPr>
            <w:tcW w:w="898" w:type="pct"/>
            <w:noWrap w:val="0"/>
            <w:vAlign w:val="center"/>
          </w:tcPr>
          <w:p w14:paraId="06720189">
            <w:pPr>
              <w:keepNext w:val="0"/>
              <w:keepLines w:val="0"/>
              <w:pageBreakBefore w:val="0"/>
              <w:widowControl/>
              <w:spacing w:line="280" w:lineRule="exact"/>
              <w:rPr>
                <w:rFonts w:hint="eastAsia" w:ascii="Times New Roman" w:hAnsi="Times New Roman" w:eastAsia="仿宋_GB2312" w:cs="仿宋_GB2312"/>
                <w:b w:val="0"/>
                <w:bCs w:val="0"/>
                <w:color w:val="auto"/>
                <w:sz w:val="21"/>
                <w:szCs w:val="21"/>
                <w:highlight w:val="none"/>
                <w:lang w:val="en-US" w:eastAsia="zh-CN" w:bidi="ar-SA"/>
              </w:rPr>
            </w:pPr>
            <w:r>
              <w:rPr>
                <w:rFonts w:hint="eastAsia" w:ascii="Times New Roman" w:hAnsi="Times New Roman" w:eastAsia="仿宋_GB2312" w:cs="仿宋_GB2312"/>
                <w:b w:val="0"/>
                <w:bCs w:val="0"/>
                <w:color w:val="auto"/>
                <w:sz w:val="21"/>
                <w:szCs w:val="21"/>
                <w:highlight w:val="none"/>
              </w:rPr>
              <w:t>取得生产许可证的企业名称发生变化，未依照规定办理变更手续。</w:t>
            </w:r>
          </w:p>
        </w:tc>
        <w:tc>
          <w:tcPr>
            <w:tcW w:w="789" w:type="pct"/>
            <w:noWrap w:val="0"/>
            <w:vAlign w:val="center"/>
          </w:tcPr>
          <w:p w14:paraId="62AABFA3">
            <w:pPr>
              <w:keepNext w:val="0"/>
              <w:keepLines w:val="0"/>
              <w:pageBreakBefore w:val="0"/>
              <w:widowControl/>
              <w:spacing w:line="280" w:lineRule="exact"/>
              <w:rPr>
                <w:rFonts w:hint="eastAsia" w:ascii="Times New Roman" w:hAnsi="Times New Roman" w:eastAsia="仿宋_GB2312" w:cs="仿宋_GB2312"/>
                <w:b w:val="0"/>
                <w:bCs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7A52B8C3">
            <w:pPr>
              <w:keepNext w:val="0"/>
              <w:keepLines w:val="0"/>
              <w:pageBreakBefore w:val="0"/>
              <w:widowControl/>
              <w:spacing w:line="280" w:lineRule="exact"/>
              <w:rPr>
                <w:rStyle w:val="185"/>
                <w:rFonts w:hint="eastAsia" w:ascii="Times New Roman" w:hAnsi="Times New Roman" w:eastAsia="仿宋_GB2312" w:cs="仿宋_GB2312"/>
                <w:b w:val="0"/>
                <w:bCs w:val="0"/>
                <w:color w:val="auto"/>
                <w:sz w:val="21"/>
                <w:szCs w:val="21"/>
                <w:highlight w:val="none"/>
              </w:rPr>
            </w:pPr>
            <w:r>
              <w:rPr>
                <w:rStyle w:val="184"/>
                <w:rFonts w:hint="eastAsia" w:ascii="Times New Roman" w:hAnsi="Times New Roman" w:eastAsia="仿宋_GB2312" w:cs="仿宋_GB2312"/>
                <w:b w:val="0"/>
                <w:bCs w:val="0"/>
                <w:color w:val="auto"/>
                <w:sz w:val="21"/>
                <w:szCs w:val="21"/>
                <w:highlight w:val="none"/>
              </w:rPr>
              <w:t>《</w:t>
            </w:r>
            <w:r>
              <w:rPr>
                <w:rStyle w:val="184"/>
                <w:rFonts w:hint="eastAsia" w:ascii="Times New Roman" w:hAnsi="Times New Roman" w:eastAsia="仿宋_GB2312" w:cs="仿宋_GB2312"/>
                <w:b/>
                <w:bCs/>
                <w:color w:val="auto"/>
                <w:sz w:val="21"/>
                <w:szCs w:val="21"/>
                <w:highlight w:val="none"/>
              </w:rPr>
              <w:t>中华人民共和国工业产品生产许可证管理条例</w:t>
            </w:r>
            <w:r>
              <w:rPr>
                <w:rStyle w:val="184"/>
                <w:rFonts w:hint="eastAsia" w:ascii="Times New Roman" w:hAnsi="Times New Roman" w:eastAsia="仿宋_GB2312" w:cs="仿宋_GB2312"/>
                <w:b w:val="0"/>
                <w:bCs w:val="0"/>
                <w:color w:val="auto"/>
                <w:sz w:val="21"/>
                <w:szCs w:val="21"/>
                <w:highlight w:val="none"/>
              </w:rPr>
              <w:t>》</w:t>
            </w:r>
            <w:r>
              <w:rPr>
                <w:rStyle w:val="185"/>
                <w:rFonts w:hint="eastAsia" w:ascii="Times New Roman" w:hAnsi="Times New Roman" w:eastAsia="仿宋_GB2312" w:cs="仿宋_GB2312"/>
                <w:b w:val="0"/>
                <w:bCs w:val="0"/>
                <w:color w:val="auto"/>
                <w:sz w:val="21"/>
                <w:szCs w:val="21"/>
                <w:highlight w:val="none"/>
              </w:rPr>
              <w:t xml:space="preserve">第二十九条 </w:t>
            </w:r>
            <w:r>
              <w:rPr>
                <w:rStyle w:val="185"/>
                <w:rFonts w:hint="eastAsia" w:ascii="Times New Roman" w:hAnsi="Times New Roman"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企业名称发生变化的，企业应当及时向企业所在地的省、自治区、直辖市工业产品生产许可证主管部门提出申请，办理变更手续。</w:t>
            </w:r>
          </w:p>
          <w:p w14:paraId="7D2385A0">
            <w:pPr>
              <w:keepNext w:val="0"/>
              <w:keepLines w:val="0"/>
              <w:pageBreakBefore w:val="0"/>
              <w:widowControl/>
              <w:spacing w:line="280" w:lineRule="exact"/>
              <w:rPr>
                <w:rFonts w:hint="eastAsia" w:ascii="Times New Roman" w:hAnsi="Times New Roman" w:eastAsia="仿宋_GB2312" w:cs="仿宋_GB2312"/>
                <w:b w:val="0"/>
                <w:bCs w:val="0"/>
                <w:color w:val="auto"/>
                <w:sz w:val="21"/>
                <w:szCs w:val="21"/>
                <w:highlight w:val="none"/>
                <w:lang w:val="en-US" w:eastAsia="zh-CN" w:bidi="ar-SA"/>
              </w:rPr>
            </w:pPr>
            <w:r>
              <w:rPr>
                <w:rStyle w:val="185"/>
                <w:rFonts w:hint="eastAsia" w:ascii="Times New Roman" w:hAnsi="Times New Roman" w:eastAsia="仿宋_GB2312" w:cs="仿宋_GB2312"/>
                <w:b w:val="0"/>
                <w:bCs w:val="0"/>
                <w:color w:val="auto"/>
                <w:sz w:val="21"/>
                <w:szCs w:val="21"/>
                <w:highlight w:val="none"/>
              </w:rPr>
              <w:t xml:space="preserve">第四十六条第二款 </w:t>
            </w:r>
            <w:r>
              <w:rPr>
                <w:rStyle w:val="185"/>
                <w:rFonts w:hint="eastAsia" w:ascii="Times New Roman" w:hAnsi="Times New Roman"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取得生产许可证的企业名称发生变化</w:t>
            </w:r>
            <w:r>
              <w:rPr>
                <w:rStyle w:val="185"/>
                <w:rFonts w:hint="eastAsia" w:eastAsia="仿宋_GB2312" w:cs="仿宋_GB2312"/>
                <w:b w:val="0"/>
                <w:bCs w:val="0"/>
                <w:color w:val="auto"/>
                <w:sz w:val="21"/>
                <w:szCs w:val="21"/>
                <w:highlight w:val="none"/>
                <w:lang w:eastAsia="zh-CN"/>
              </w:rPr>
              <w:t>，</w:t>
            </w:r>
            <w:r>
              <w:rPr>
                <w:rStyle w:val="185"/>
                <w:rFonts w:hint="eastAsia" w:ascii="Times New Roman" w:hAnsi="Times New Roman" w:eastAsia="仿宋_GB2312" w:cs="仿宋_GB2312"/>
                <w:b w:val="0"/>
                <w:bCs w:val="0"/>
                <w:color w:val="auto"/>
                <w:sz w:val="21"/>
                <w:szCs w:val="21"/>
                <w:highlight w:val="none"/>
              </w:rPr>
              <w:t>未依照本条例规定办理变更手续的</w:t>
            </w:r>
            <w:r>
              <w:rPr>
                <w:rStyle w:val="185"/>
                <w:rFonts w:hint="eastAsia" w:eastAsia="仿宋_GB2312" w:cs="仿宋_GB2312"/>
                <w:b w:val="0"/>
                <w:bCs w:val="0"/>
                <w:color w:val="auto"/>
                <w:sz w:val="21"/>
                <w:szCs w:val="21"/>
                <w:highlight w:val="none"/>
                <w:lang w:eastAsia="zh-CN"/>
              </w:rPr>
              <w:t>，</w:t>
            </w:r>
            <w:r>
              <w:rPr>
                <w:rStyle w:val="185"/>
                <w:rFonts w:hint="eastAsia" w:ascii="Times New Roman" w:hAnsi="Times New Roman" w:eastAsia="仿宋_GB2312" w:cs="仿宋_GB2312"/>
                <w:b w:val="0"/>
                <w:bCs w:val="0"/>
                <w:color w:val="auto"/>
                <w:sz w:val="21"/>
                <w:szCs w:val="21"/>
                <w:highlight w:val="none"/>
              </w:rPr>
              <w:t>责令限期办理相关手续</w:t>
            </w:r>
            <w:r>
              <w:rPr>
                <w:rStyle w:val="185"/>
                <w:rFonts w:hint="eastAsia" w:ascii="Times New Roman" w:hAnsi="Times New Roman" w:eastAsia="仿宋_GB2312" w:cs="仿宋_GB2312"/>
                <w:b w:val="0"/>
                <w:bCs w:val="0"/>
                <w:color w:val="auto"/>
                <w:sz w:val="21"/>
                <w:szCs w:val="21"/>
                <w:highlight w:val="none"/>
                <w:lang w:eastAsia="zh-CN"/>
              </w:rPr>
              <w:t>；</w:t>
            </w:r>
            <w:r>
              <w:rPr>
                <w:rStyle w:val="185"/>
                <w:rFonts w:hint="eastAsia" w:ascii="Times New Roman" w:hAnsi="Times New Roman" w:eastAsia="仿宋_GB2312" w:cs="仿宋_GB2312"/>
                <w:b w:val="0"/>
                <w:bCs w:val="0"/>
                <w:color w:val="auto"/>
                <w:sz w:val="21"/>
                <w:szCs w:val="21"/>
                <w:highlight w:val="none"/>
              </w:rPr>
              <w:t>逾期仍未办理的</w:t>
            </w:r>
            <w:r>
              <w:rPr>
                <w:rStyle w:val="185"/>
                <w:rFonts w:hint="eastAsia" w:eastAsia="仿宋_GB2312" w:cs="仿宋_GB2312"/>
                <w:b w:val="0"/>
                <w:bCs w:val="0"/>
                <w:color w:val="auto"/>
                <w:sz w:val="21"/>
                <w:szCs w:val="21"/>
                <w:highlight w:val="none"/>
                <w:lang w:eastAsia="zh-CN"/>
              </w:rPr>
              <w:t>，</w:t>
            </w:r>
            <w:r>
              <w:rPr>
                <w:rStyle w:val="185"/>
                <w:rFonts w:hint="eastAsia" w:ascii="Times New Roman" w:hAnsi="Times New Roman" w:eastAsia="仿宋_GB2312" w:cs="仿宋_GB2312"/>
                <w:b w:val="0"/>
                <w:bCs w:val="0"/>
                <w:color w:val="auto"/>
                <w:sz w:val="21"/>
                <w:szCs w:val="21"/>
                <w:highlight w:val="none"/>
              </w:rPr>
              <w:t>责令停止生产、销售</w:t>
            </w:r>
            <w:r>
              <w:rPr>
                <w:rStyle w:val="185"/>
                <w:rFonts w:hint="eastAsia" w:ascii="Times New Roman" w:hAnsi="Times New Roman" w:eastAsia="仿宋_GB2312" w:cs="仿宋_GB2312"/>
                <w:b w:val="0"/>
                <w:bCs w:val="0"/>
                <w:color w:val="auto"/>
                <w:sz w:val="21"/>
                <w:szCs w:val="21"/>
                <w:highlight w:val="none"/>
                <w:lang w:eastAsia="zh-CN"/>
              </w:rPr>
              <w:t>，</w:t>
            </w:r>
            <w:r>
              <w:rPr>
                <w:rStyle w:val="185"/>
                <w:rFonts w:hint="eastAsia" w:ascii="Times New Roman" w:hAnsi="Times New Roman" w:eastAsia="仿宋_GB2312" w:cs="仿宋_GB2312"/>
                <w:b w:val="0"/>
                <w:bCs w:val="0"/>
                <w:color w:val="auto"/>
                <w:sz w:val="21"/>
                <w:szCs w:val="21"/>
                <w:highlight w:val="none"/>
              </w:rPr>
              <w:t>没收违法生产、销售的产品</w:t>
            </w:r>
            <w:r>
              <w:rPr>
                <w:rStyle w:val="185"/>
                <w:rFonts w:hint="eastAsia" w:ascii="Times New Roman" w:hAnsi="Times New Roman" w:eastAsia="仿宋_GB2312" w:cs="仿宋_GB2312"/>
                <w:b w:val="0"/>
                <w:bCs w:val="0"/>
                <w:color w:val="auto"/>
                <w:sz w:val="21"/>
                <w:szCs w:val="21"/>
                <w:highlight w:val="none"/>
                <w:lang w:eastAsia="zh-CN"/>
              </w:rPr>
              <w:t>，</w:t>
            </w:r>
            <w:r>
              <w:rPr>
                <w:rStyle w:val="185"/>
                <w:rFonts w:hint="eastAsia" w:ascii="Times New Roman" w:hAnsi="Times New Roman" w:eastAsia="仿宋_GB2312" w:cs="仿宋_GB2312"/>
                <w:b w:val="0"/>
                <w:bCs w:val="0"/>
                <w:color w:val="auto"/>
                <w:sz w:val="21"/>
                <w:szCs w:val="21"/>
                <w:highlight w:val="none"/>
              </w:rPr>
              <w:t>并处违法生产、销售产品货值金额等值以下的罚款</w:t>
            </w:r>
            <w:r>
              <w:rPr>
                <w:rStyle w:val="185"/>
                <w:rFonts w:hint="eastAsia" w:ascii="Times New Roman" w:hAnsi="Times New Roman" w:eastAsia="仿宋_GB2312" w:cs="仿宋_GB2312"/>
                <w:b w:val="0"/>
                <w:bCs w:val="0"/>
                <w:color w:val="auto"/>
                <w:sz w:val="21"/>
                <w:szCs w:val="21"/>
                <w:highlight w:val="none"/>
                <w:lang w:eastAsia="zh-CN"/>
              </w:rPr>
              <w:t>；</w:t>
            </w:r>
            <w:r>
              <w:rPr>
                <w:rStyle w:val="185"/>
                <w:rFonts w:hint="eastAsia" w:ascii="Times New Roman" w:hAnsi="Times New Roman" w:eastAsia="仿宋_GB2312" w:cs="仿宋_GB2312"/>
                <w:b w:val="0"/>
                <w:bCs w:val="0"/>
                <w:color w:val="auto"/>
                <w:sz w:val="21"/>
                <w:szCs w:val="21"/>
                <w:highlight w:val="none"/>
              </w:rPr>
              <w:t>有违法所得的</w:t>
            </w:r>
            <w:r>
              <w:rPr>
                <w:rStyle w:val="185"/>
                <w:rFonts w:hint="eastAsia" w:ascii="Times New Roman" w:hAnsi="Times New Roman" w:eastAsia="仿宋_GB2312" w:cs="仿宋_GB2312"/>
                <w:b w:val="0"/>
                <w:bCs w:val="0"/>
                <w:color w:val="auto"/>
                <w:sz w:val="21"/>
                <w:szCs w:val="21"/>
                <w:highlight w:val="none"/>
                <w:lang w:eastAsia="zh-CN"/>
              </w:rPr>
              <w:t>，</w:t>
            </w:r>
            <w:r>
              <w:rPr>
                <w:rStyle w:val="185"/>
                <w:rFonts w:hint="eastAsia" w:ascii="Times New Roman" w:hAnsi="Times New Roman" w:eastAsia="仿宋_GB2312" w:cs="仿宋_GB2312"/>
                <w:b w:val="0"/>
                <w:bCs w:val="0"/>
                <w:color w:val="auto"/>
                <w:sz w:val="21"/>
                <w:szCs w:val="21"/>
                <w:highlight w:val="none"/>
              </w:rPr>
              <w:t>没收违法所得。</w:t>
            </w:r>
          </w:p>
        </w:tc>
      </w:tr>
      <w:tr w14:paraId="6B35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jc w:val="center"/>
        </w:trPr>
        <w:tc>
          <w:tcPr>
            <w:tcW w:w="307" w:type="pct"/>
            <w:noWrap w:val="0"/>
            <w:vAlign w:val="center"/>
          </w:tcPr>
          <w:p w14:paraId="4948A45A">
            <w:pPr>
              <w:widowControl/>
              <w:spacing w:line="280" w:lineRule="exact"/>
              <w:jc w:val="center"/>
              <w:rPr>
                <w:rFonts w:hint="eastAsia"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3</w:t>
            </w:r>
          </w:p>
        </w:tc>
        <w:tc>
          <w:tcPr>
            <w:tcW w:w="898" w:type="pct"/>
            <w:noWrap w:val="0"/>
            <w:vAlign w:val="center"/>
          </w:tcPr>
          <w:p w14:paraId="64C16FB2">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rPr>
            </w:pPr>
            <w:r>
              <w:rPr>
                <w:rFonts w:hint="eastAsia" w:ascii="Times New Roman" w:hAnsi="Times New Roman" w:eastAsia="仿宋_GB2312" w:cs="仿宋_GB2312"/>
                <w:strike w:val="0"/>
                <w:color w:val="auto"/>
                <w:sz w:val="21"/>
                <w:szCs w:val="21"/>
                <w:highlight w:val="none"/>
              </w:rPr>
              <w:t>在公益活动中使用不符合要求的纤维制品的</w:t>
            </w:r>
          </w:p>
        </w:tc>
        <w:tc>
          <w:tcPr>
            <w:tcW w:w="789" w:type="pct"/>
            <w:noWrap w:val="0"/>
            <w:vAlign w:val="center"/>
          </w:tcPr>
          <w:p w14:paraId="0FB019A9">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7518F91C">
            <w:pPr>
              <w:keepNext w:val="0"/>
              <w:keepLines w:val="0"/>
              <w:pageBreakBefore w:val="0"/>
              <w:widowControl/>
              <w:spacing w:line="280" w:lineRule="exact"/>
              <w:jc w:val="lef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《纤维制品质量监督管理办法》</w:t>
            </w:r>
            <w:r>
              <w:rPr>
                <w:rStyle w:val="185"/>
                <w:rFonts w:hint="eastAsia" w:ascii="Times New Roman" w:hAnsi="Times New Roman" w:eastAsia="仿宋_GB2312" w:cs="仿宋_GB2312"/>
                <w:strike w:val="0"/>
                <w:color w:val="auto"/>
                <w:sz w:val="21"/>
                <w:szCs w:val="21"/>
                <w:highlight w:val="none"/>
              </w:rPr>
              <w:t>第七条：禁止生产、销售以及在经营性服务或者公益活动中使用下列纤维制品：（一）不符合保障人体健康和人身、财产安全的国家标准、行业标准的；（二）掺杂、掺假，以假充真，以次充好的；（三）以不合格产品冒充合格产品的；（四）伪造、冒用质量标志或者其他质量证明文件的；（五）伪造产地，伪造或者冒用他人的厂名、厂址的。</w:t>
            </w:r>
          </w:p>
          <w:p w14:paraId="5AEA7CFC">
            <w:pPr>
              <w:keepNext w:val="0"/>
              <w:keepLines w:val="0"/>
              <w:pageBreakBefore w:val="0"/>
              <w:widowControl/>
              <w:spacing w:line="280" w:lineRule="exact"/>
              <w:jc w:val="left"/>
              <w:rPr>
                <w:rStyle w:val="184"/>
                <w:rFonts w:hint="eastAsia" w:ascii="Times New Roman" w:hAnsi="Times New Roman" w:eastAsia="仿宋_GB2312" w:cs="仿宋_GB2312"/>
                <w:strike w:val="0"/>
                <w:color w:val="auto"/>
                <w:sz w:val="21"/>
                <w:szCs w:val="21"/>
                <w:highlight w:val="none"/>
              </w:rPr>
            </w:pPr>
            <w:r>
              <w:rPr>
                <w:rStyle w:val="185"/>
                <w:rFonts w:hint="eastAsia" w:ascii="Times New Roman" w:hAnsi="Times New Roman" w:eastAsia="仿宋_GB2312" w:cs="仿宋_GB2312"/>
                <w:strike w:val="0"/>
                <w:color w:val="auto"/>
                <w:sz w:val="21"/>
                <w:szCs w:val="21"/>
                <w:highlight w:val="none"/>
              </w:rPr>
              <w:t>第三十条第三款：在公益活动中违反本办法第七条规定的，责令改正；逾期未改或改正后仍不符合要求的，处一千元以下罚款。</w:t>
            </w:r>
          </w:p>
        </w:tc>
      </w:tr>
      <w:tr w14:paraId="3A2B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atLeast"/>
          <w:jc w:val="center"/>
        </w:trPr>
        <w:tc>
          <w:tcPr>
            <w:tcW w:w="307" w:type="pct"/>
            <w:noWrap w:val="0"/>
            <w:vAlign w:val="center"/>
          </w:tcPr>
          <w:p w14:paraId="6837E995">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4</w:t>
            </w:r>
          </w:p>
        </w:tc>
        <w:tc>
          <w:tcPr>
            <w:tcW w:w="898" w:type="pct"/>
            <w:noWrap w:val="0"/>
            <w:vAlign w:val="center"/>
          </w:tcPr>
          <w:p w14:paraId="372239FB">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rPr>
            </w:pPr>
            <w:r>
              <w:rPr>
                <w:rFonts w:hint="eastAsia" w:ascii="Times New Roman" w:hAnsi="Times New Roman" w:eastAsia="仿宋_GB2312" w:cs="仿宋_GB2312"/>
                <w:strike w:val="0"/>
                <w:color w:val="auto"/>
                <w:sz w:val="21"/>
                <w:szCs w:val="21"/>
                <w:highlight w:val="none"/>
              </w:rPr>
              <w:t>麻类纤维经营者不具备麻类纤维收购质量验收制度、相应的文字标准和实物标准样品等质量保证基本条件的</w:t>
            </w:r>
          </w:p>
        </w:tc>
        <w:tc>
          <w:tcPr>
            <w:tcW w:w="789" w:type="pct"/>
            <w:noWrap w:val="0"/>
            <w:vAlign w:val="center"/>
          </w:tcPr>
          <w:p w14:paraId="31F8616D">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5A84553A">
            <w:pPr>
              <w:keepNext w:val="0"/>
              <w:keepLines w:val="0"/>
              <w:pageBreakBefore w:val="0"/>
              <w:widowControl/>
              <w:spacing w:line="280" w:lineRule="exact"/>
              <w:jc w:val="lef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《麻类纤维质量监督管理办法》</w:t>
            </w:r>
            <w:r>
              <w:rPr>
                <w:rStyle w:val="185"/>
                <w:rFonts w:hint="eastAsia" w:ascii="Times New Roman" w:hAnsi="Times New Roman" w:eastAsia="仿宋_GB2312" w:cs="仿宋_GB2312"/>
                <w:strike w:val="0"/>
                <w:color w:val="auto"/>
                <w:sz w:val="21"/>
                <w:szCs w:val="21"/>
                <w:highlight w:val="none"/>
              </w:rPr>
              <w:t>第十五条第（一）项：麻类纤维经营者收购麻类纤维，应当符合下列要求：（一）具备麻类纤维收购质量验收制度、相应的文字标准和实物标准样品等质量保证基本条件；</w:t>
            </w:r>
          </w:p>
          <w:p w14:paraId="3163CC47">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rPr>
            </w:pPr>
            <w:r>
              <w:rPr>
                <w:rStyle w:val="185"/>
                <w:rFonts w:hint="eastAsia" w:ascii="Times New Roman" w:hAnsi="Times New Roman" w:eastAsia="仿宋_GB2312" w:cs="仿宋_GB2312"/>
                <w:strike w:val="0"/>
                <w:color w:val="auto"/>
                <w:sz w:val="21"/>
                <w:szCs w:val="21"/>
                <w:highlight w:val="none"/>
              </w:rPr>
              <w:t>第二十条：麻类纤维经营者在收购麻类纤维活动中，违反本办法第十五条第（一）项规定的，有纤维质量监督机构责令改正，拒不改正的，处以1万元以下的罚款；违反本办法第十五条第（二）项至第（四）项任何一项规定的，由纤维质量监督机构责令改正，并可以处3万元以下罚款。</w:t>
            </w:r>
          </w:p>
        </w:tc>
      </w:tr>
      <w:tr w14:paraId="0E9F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307" w:type="pct"/>
            <w:noWrap w:val="0"/>
            <w:vAlign w:val="center"/>
          </w:tcPr>
          <w:p w14:paraId="23E166DE">
            <w:pPr>
              <w:widowControl/>
              <w:spacing w:line="280" w:lineRule="exact"/>
              <w:jc w:val="center"/>
              <w:rPr>
                <w:rFonts w:hint="eastAsia"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5</w:t>
            </w:r>
          </w:p>
        </w:tc>
        <w:tc>
          <w:tcPr>
            <w:tcW w:w="898" w:type="pct"/>
            <w:noWrap w:val="0"/>
            <w:vAlign w:val="center"/>
          </w:tcPr>
          <w:p w14:paraId="1C770DAC">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rPr>
            </w:pPr>
            <w:r>
              <w:rPr>
                <w:rFonts w:hint="eastAsia" w:ascii="Times New Roman" w:hAnsi="Times New Roman" w:eastAsia="仿宋_GB2312" w:cs="仿宋_GB2312"/>
                <w:strike w:val="0"/>
                <w:color w:val="auto"/>
                <w:sz w:val="21"/>
                <w:szCs w:val="21"/>
                <w:highlight w:val="none"/>
              </w:rPr>
              <w:t>对平台内经营者实施侵犯知识产权行为未依法采取必要措施的</w:t>
            </w:r>
          </w:p>
        </w:tc>
        <w:tc>
          <w:tcPr>
            <w:tcW w:w="789" w:type="pct"/>
            <w:noWrap w:val="0"/>
            <w:vAlign w:val="center"/>
          </w:tcPr>
          <w:p w14:paraId="5B81CD87">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6840526B">
            <w:pPr>
              <w:keepNext w:val="0"/>
              <w:keepLines w:val="0"/>
              <w:pageBreakBefore w:val="0"/>
              <w:widowControl/>
              <w:spacing w:line="280" w:lineRule="exac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《中华人民共和国电子商务法》</w:t>
            </w:r>
            <w:r>
              <w:rPr>
                <w:rStyle w:val="185"/>
                <w:rFonts w:hint="eastAsia" w:ascii="Times New Roman" w:hAnsi="Times New Roman" w:eastAsia="仿宋_GB2312" w:cs="仿宋_GB2312"/>
                <w:strike w:val="0"/>
                <w:color w:val="auto"/>
                <w:sz w:val="21"/>
                <w:szCs w:val="21"/>
                <w:highlight w:val="none"/>
              </w:rPr>
              <w:t>第四十二条</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知识产权权利人认为其知识产权受到侵害的，有权通知电子商务平台经营者采取删除、屏蔽、断开链接、终止交易和服务等必要措施。通知应当包括构成侵权的初步证据。</w:t>
            </w:r>
          </w:p>
          <w:p w14:paraId="022C6658">
            <w:pPr>
              <w:keepNext w:val="0"/>
              <w:keepLines w:val="0"/>
              <w:pageBreakBefore w:val="0"/>
              <w:widowControl/>
              <w:spacing w:line="280" w:lineRule="exact"/>
              <w:rPr>
                <w:rStyle w:val="185"/>
                <w:rFonts w:hint="eastAsia" w:ascii="Times New Roman" w:hAnsi="Times New Roman" w:eastAsia="仿宋_GB2312" w:cs="仿宋_GB2312"/>
                <w:strike w:val="0"/>
                <w:color w:val="auto"/>
                <w:sz w:val="21"/>
                <w:szCs w:val="21"/>
                <w:highlight w:val="none"/>
              </w:rPr>
            </w:pPr>
            <w:r>
              <w:rPr>
                <w:rStyle w:val="185"/>
                <w:rFonts w:hint="eastAsia" w:ascii="Times New Roman" w:hAnsi="Times New Roman" w:eastAsia="仿宋_GB2312" w:cs="仿宋_GB2312"/>
                <w:strike w:val="0"/>
                <w:color w:val="auto"/>
                <w:sz w:val="21"/>
                <w:szCs w:val="21"/>
                <w:highlight w:val="none"/>
              </w:rPr>
              <w:t>电子商务平台经营者接到通知后，应当及时采取必要措施，并将该通知转送平台内经营者；未及时采取必要措施的，对损害的扩大部分与平台内经营者承担连带责任。</w:t>
            </w:r>
          </w:p>
          <w:p w14:paraId="1B9C4912">
            <w:pPr>
              <w:keepNext w:val="0"/>
              <w:keepLines w:val="0"/>
              <w:pageBreakBefore w:val="0"/>
              <w:widowControl/>
              <w:spacing w:line="280" w:lineRule="exact"/>
              <w:rPr>
                <w:rStyle w:val="185"/>
                <w:rFonts w:hint="eastAsia" w:ascii="Times New Roman" w:hAnsi="Times New Roman" w:eastAsia="仿宋_GB2312" w:cs="仿宋_GB2312"/>
                <w:strike w:val="0"/>
                <w:color w:val="auto"/>
                <w:sz w:val="21"/>
                <w:szCs w:val="21"/>
                <w:highlight w:val="none"/>
              </w:rPr>
            </w:pPr>
            <w:r>
              <w:rPr>
                <w:rStyle w:val="185"/>
                <w:rFonts w:hint="eastAsia" w:ascii="Times New Roman" w:hAnsi="Times New Roman" w:eastAsia="仿宋_GB2312" w:cs="仿宋_GB2312"/>
                <w:strike w:val="0"/>
                <w:color w:val="auto"/>
                <w:sz w:val="21"/>
                <w:szCs w:val="21"/>
                <w:highlight w:val="none"/>
              </w:rPr>
              <w:t>因通知错误造成平台内经营者损害的，依法承担民事责任。恶意发出错误通知，造成平台内经营者损失的，加倍承担赔偿责任。</w:t>
            </w:r>
          </w:p>
          <w:p w14:paraId="3B2C3806">
            <w:pPr>
              <w:keepNext w:val="0"/>
              <w:keepLines w:val="0"/>
              <w:pageBreakBefore w:val="0"/>
              <w:widowControl/>
              <w:spacing w:line="280" w:lineRule="exact"/>
              <w:rPr>
                <w:rStyle w:val="185"/>
                <w:rFonts w:hint="eastAsia" w:ascii="Times New Roman" w:hAnsi="Times New Roman" w:eastAsia="仿宋_GB2312" w:cs="仿宋_GB2312"/>
                <w:strike w:val="0"/>
                <w:color w:val="auto"/>
                <w:sz w:val="21"/>
                <w:szCs w:val="21"/>
                <w:highlight w:val="none"/>
              </w:rPr>
            </w:pPr>
            <w:r>
              <w:rPr>
                <w:rStyle w:val="185"/>
                <w:rFonts w:hint="eastAsia" w:ascii="Times New Roman" w:hAnsi="Times New Roman" w:eastAsia="仿宋_GB2312" w:cs="仿宋_GB2312"/>
                <w:strike w:val="0"/>
                <w:color w:val="auto"/>
                <w:sz w:val="21"/>
                <w:szCs w:val="21"/>
                <w:highlight w:val="none"/>
              </w:rPr>
              <w:t>第四十五条</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电子商务平台经营者知道或者应当知道平台内经营者侵犯知识产权的，应当采取删除、屏蔽、断开链接、终止交易和服务等必要措施；未采取必要措施的，与侵权人承担连带责任。</w:t>
            </w:r>
          </w:p>
          <w:p w14:paraId="08183856">
            <w:pPr>
              <w:keepNext w:val="0"/>
              <w:keepLines w:val="0"/>
              <w:pageBreakBefore w:val="0"/>
              <w:widowControl/>
              <w:spacing w:line="280" w:lineRule="exact"/>
              <w:rPr>
                <w:rFonts w:hint="eastAsia" w:ascii="Times New Roman" w:hAnsi="Times New Roman" w:eastAsia="仿宋_GB2312" w:cs="仿宋_GB2312"/>
                <w:b/>
                <w:bCs/>
                <w:strike w:val="0"/>
                <w:color w:val="auto"/>
                <w:sz w:val="21"/>
                <w:szCs w:val="21"/>
                <w:highlight w:val="none"/>
              </w:rPr>
            </w:pPr>
            <w:r>
              <w:rPr>
                <w:rStyle w:val="185"/>
                <w:rFonts w:hint="eastAsia" w:ascii="Times New Roman" w:hAnsi="Times New Roman" w:eastAsia="仿宋_GB2312" w:cs="仿宋_GB2312"/>
                <w:strike w:val="0"/>
                <w:color w:val="auto"/>
                <w:sz w:val="21"/>
                <w:szCs w:val="21"/>
                <w:highlight w:val="none"/>
              </w:rPr>
              <w:t>第八十四条  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tc>
      </w:tr>
      <w:tr w14:paraId="17D5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307" w:type="pct"/>
            <w:noWrap w:val="0"/>
            <w:vAlign w:val="center"/>
          </w:tcPr>
          <w:p w14:paraId="6B25F5D6">
            <w:pPr>
              <w:widowControl/>
              <w:spacing w:line="280" w:lineRule="exact"/>
              <w:jc w:val="center"/>
              <w:rPr>
                <w:rFonts w:hint="eastAsia"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6</w:t>
            </w:r>
          </w:p>
        </w:tc>
        <w:tc>
          <w:tcPr>
            <w:tcW w:w="898" w:type="pct"/>
            <w:noWrap w:val="0"/>
            <w:vAlign w:val="center"/>
          </w:tcPr>
          <w:p w14:paraId="6D295651">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rPr>
            </w:pPr>
            <w:r>
              <w:rPr>
                <w:rFonts w:hint="eastAsia" w:ascii="Times New Roman" w:hAnsi="Times New Roman" w:eastAsia="仿宋_GB2312" w:cs="仿宋_GB2312"/>
                <w:strike w:val="0"/>
                <w:color w:val="auto"/>
                <w:sz w:val="21"/>
                <w:szCs w:val="21"/>
                <w:highlight w:val="none"/>
              </w:rPr>
              <w:t>电子商务平台经营者未对进入平台经营者的身份、地址、联系方式、行政许可等信息进行核验、登记并建立更新档案的</w:t>
            </w:r>
          </w:p>
        </w:tc>
        <w:tc>
          <w:tcPr>
            <w:tcW w:w="789" w:type="pct"/>
            <w:noWrap w:val="0"/>
            <w:vAlign w:val="center"/>
          </w:tcPr>
          <w:p w14:paraId="756E5BB5">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50E2D891">
            <w:pPr>
              <w:keepNext w:val="0"/>
              <w:keepLines w:val="0"/>
              <w:pageBreakBefore w:val="0"/>
              <w:widowControl/>
              <w:spacing w:line="280" w:lineRule="exac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《中华人民共和国电子商务法》</w:t>
            </w:r>
            <w:r>
              <w:rPr>
                <w:rStyle w:val="185"/>
                <w:rFonts w:hint="eastAsia" w:ascii="Times New Roman" w:hAnsi="Times New Roman" w:eastAsia="仿宋_GB2312" w:cs="仿宋_GB2312"/>
                <w:strike w:val="0"/>
                <w:color w:val="auto"/>
                <w:sz w:val="21"/>
                <w:szCs w:val="21"/>
                <w:highlight w:val="none"/>
              </w:rPr>
              <w:t xml:space="preserve">第二十七条 </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电子商务平台经营者应当要求申请进入平台销售商品或者提供服务的经营者提交其身份、地址、联系方式、行政许可等真实信息，进行核验、登记，建立登记档案，并定期核验更新。</w:t>
            </w:r>
          </w:p>
          <w:p w14:paraId="35714ED1">
            <w:pPr>
              <w:keepNext w:val="0"/>
              <w:keepLines w:val="0"/>
              <w:pageBreakBefore w:val="0"/>
              <w:widowControl/>
              <w:spacing w:line="280" w:lineRule="exact"/>
              <w:rPr>
                <w:rStyle w:val="185"/>
                <w:rFonts w:hint="eastAsia" w:ascii="Times New Roman" w:hAnsi="Times New Roman" w:eastAsia="仿宋_GB2312" w:cs="仿宋_GB2312"/>
                <w:strike w:val="0"/>
                <w:color w:val="auto"/>
                <w:sz w:val="21"/>
                <w:szCs w:val="21"/>
                <w:highlight w:val="none"/>
              </w:rPr>
            </w:pPr>
            <w:r>
              <w:rPr>
                <w:rStyle w:val="185"/>
                <w:rFonts w:hint="eastAsia" w:ascii="Times New Roman" w:hAnsi="Times New Roman" w:eastAsia="仿宋_GB2312" w:cs="仿宋_GB2312"/>
                <w:strike w:val="0"/>
                <w:color w:val="auto"/>
                <w:sz w:val="21"/>
                <w:szCs w:val="21"/>
                <w:highlight w:val="none"/>
              </w:rPr>
              <w:t>电子商务平台经营者为进入平台销售商品或者提供服务的非经营用户提供服务，应当遵守本节有关规定。</w:t>
            </w:r>
          </w:p>
          <w:p w14:paraId="33B59125">
            <w:pPr>
              <w:keepNext w:val="0"/>
              <w:keepLines w:val="0"/>
              <w:pageBreakBefore w:val="0"/>
              <w:widowControl/>
              <w:spacing w:line="280" w:lineRule="exact"/>
              <w:rPr>
                <w:rStyle w:val="185"/>
                <w:rFonts w:hint="eastAsia" w:ascii="Times New Roman" w:hAnsi="Times New Roman" w:eastAsia="仿宋_GB2312" w:cs="仿宋_GB2312"/>
                <w:strike w:val="0"/>
                <w:color w:val="auto"/>
                <w:sz w:val="21"/>
                <w:szCs w:val="21"/>
                <w:highlight w:val="none"/>
              </w:rPr>
            </w:pPr>
            <w:r>
              <w:rPr>
                <w:rStyle w:val="185"/>
                <w:rFonts w:hint="eastAsia" w:ascii="Times New Roman" w:hAnsi="Times New Roman" w:eastAsia="仿宋_GB2312" w:cs="仿宋_GB2312"/>
                <w:strike w:val="0"/>
                <w:color w:val="auto"/>
                <w:sz w:val="21"/>
                <w:szCs w:val="21"/>
                <w:highlight w:val="none"/>
              </w:rPr>
              <w:t>第八十条第一款第一项</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w:t>
            </w:r>
          </w:p>
        </w:tc>
      </w:tr>
      <w:tr w14:paraId="31D1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3" w:hRule="atLeast"/>
          <w:jc w:val="center"/>
        </w:trPr>
        <w:tc>
          <w:tcPr>
            <w:tcW w:w="307" w:type="pct"/>
            <w:noWrap w:val="0"/>
            <w:vAlign w:val="center"/>
          </w:tcPr>
          <w:p w14:paraId="124FB0ED">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7</w:t>
            </w:r>
          </w:p>
        </w:tc>
        <w:tc>
          <w:tcPr>
            <w:tcW w:w="898" w:type="pct"/>
            <w:noWrap w:val="0"/>
            <w:vAlign w:val="center"/>
          </w:tcPr>
          <w:p w14:paraId="66A289A9">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电子商务平台经营者未按规定向市场监管部门报送有关信息的</w:t>
            </w:r>
          </w:p>
        </w:tc>
        <w:tc>
          <w:tcPr>
            <w:tcW w:w="789" w:type="pct"/>
            <w:noWrap w:val="0"/>
            <w:vAlign w:val="center"/>
          </w:tcPr>
          <w:p w14:paraId="707F1C35">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01D4CFD6">
            <w:pPr>
              <w:keepNext w:val="0"/>
              <w:keepLines w:val="0"/>
              <w:pageBreakBefore w:val="0"/>
              <w:widowControl/>
              <w:spacing w:line="280" w:lineRule="exac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《中华人民共和国电子商务法》</w:t>
            </w:r>
            <w:r>
              <w:rPr>
                <w:rStyle w:val="185"/>
                <w:rFonts w:hint="eastAsia" w:ascii="Times New Roman" w:hAnsi="Times New Roman" w:eastAsia="仿宋_GB2312" w:cs="仿宋_GB2312"/>
                <w:strike w:val="0"/>
                <w:color w:val="auto"/>
                <w:sz w:val="21"/>
                <w:szCs w:val="21"/>
                <w:highlight w:val="none"/>
              </w:rPr>
              <w:t>第二十八条第一款</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w:t>
            </w:r>
          </w:p>
          <w:p w14:paraId="24FCC987">
            <w:pPr>
              <w:keepNext w:val="0"/>
              <w:keepLines w:val="0"/>
              <w:pageBreakBefore w:val="0"/>
              <w:widowControl/>
              <w:spacing w:line="280" w:lineRule="exact"/>
              <w:rPr>
                <w:rFonts w:hint="eastAsia" w:ascii="Times New Roman" w:hAnsi="Times New Roman" w:eastAsia="仿宋_GB2312" w:cs="仿宋_GB2312"/>
                <w:b/>
                <w:bCs/>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rPr>
              <w:t>第八十条第一款第二项  电子商务平台经营者有下列行为之一的，由有关主管部门责令限期改正；逾期不改正的，处二万元以上十万元以下的罚款；情节严重的，责令停业整顿，并处十万元以上五十万元以下的罚款：（二）不按照本法第二十八条规定向市场监督管理部门、税务部门报送有关信息的。</w:t>
            </w:r>
          </w:p>
        </w:tc>
      </w:tr>
      <w:tr w14:paraId="24A7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3" w:hRule="atLeast"/>
          <w:jc w:val="center"/>
        </w:trPr>
        <w:tc>
          <w:tcPr>
            <w:tcW w:w="307" w:type="pct"/>
            <w:noWrap w:val="0"/>
            <w:vAlign w:val="center"/>
          </w:tcPr>
          <w:p w14:paraId="58B58450">
            <w:pPr>
              <w:widowControl/>
              <w:spacing w:line="280" w:lineRule="exact"/>
              <w:jc w:val="center"/>
              <w:rPr>
                <w:rFonts w:hint="eastAsia"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8</w:t>
            </w:r>
          </w:p>
        </w:tc>
        <w:tc>
          <w:tcPr>
            <w:tcW w:w="898" w:type="pct"/>
            <w:noWrap w:val="0"/>
            <w:vAlign w:val="center"/>
          </w:tcPr>
          <w:p w14:paraId="016A7A4F">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不按照《中华人民共和国电子商务法》第二十九条规定对违法情形采取必要的处置措施，或者未向有关主管部门报告，责令限期改正后及时改正的</w:t>
            </w:r>
          </w:p>
        </w:tc>
        <w:tc>
          <w:tcPr>
            <w:tcW w:w="789" w:type="pct"/>
            <w:noWrap w:val="0"/>
            <w:vAlign w:val="center"/>
          </w:tcPr>
          <w:p w14:paraId="58E4B030">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0F25ACA6">
            <w:pPr>
              <w:keepNext w:val="0"/>
              <w:keepLines w:val="0"/>
              <w:pageBreakBefore w:val="0"/>
              <w:widowControl/>
              <w:spacing w:line="280" w:lineRule="exac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《中华人民共和国电子商务法》</w:t>
            </w:r>
            <w:r>
              <w:rPr>
                <w:rStyle w:val="185"/>
                <w:rFonts w:hint="eastAsia" w:ascii="Times New Roman" w:hAnsi="Times New Roman" w:eastAsia="仿宋_GB2312" w:cs="仿宋_GB2312"/>
                <w:strike w:val="0"/>
                <w:color w:val="auto"/>
                <w:sz w:val="21"/>
                <w:szCs w:val="21"/>
                <w:highlight w:val="none"/>
              </w:rPr>
              <w:t>第十二条</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电子商务经营者从事经营活动，依法需要取得相关行政许可的，应当依法取得行政许可。</w:t>
            </w:r>
          </w:p>
          <w:p w14:paraId="06F9CA18">
            <w:pPr>
              <w:keepNext w:val="0"/>
              <w:keepLines w:val="0"/>
              <w:pageBreakBefore w:val="0"/>
              <w:widowControl/>
              <w:spacing w:line="280" w:lineRule="exact"/>
              <w:rPr>
                <w:rStyle w:val="185"/>
                <w:rFonts w:hint="eastAsia" w:ascii="Times New Roman" w:hAnsi="Times New Roman" w:eastAsia="仿宋_GB2312" w:cs="仿宋_GB2312"/>
                <w:strike w:val="0"/>
                <w:color w:val="auto"/>
                <w:sz w:val="21"/>
                <w:szCs w:val="21"/>
                <w:highlight w:val="none"/>
              </w:rPr>
            </w:pPr>
            <w:r>
              <w:rPr>
                <w:rStyle w:val="185"/>
                <w:rFonts w:hint="eastAsia" w:ascii="Times New Roman" w:hAnsi="Times New Roman" w:eastAsia="仿宋_GB2312" w:cs="仿宋_GB2312"/>
                <w:strike w:val="0"/>
                <w:color w:val="auto"/>
                <w:sz w:val="21"/>
                <w:szCs w:val="21"/>
                <w:highlight w:val="none"/>
              </w:rPr>
              <w:t>第十三条</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电子商务经营者销售的商品或者提供的服务应当符合保障人身、财产安全的要求和环境保护要求，不得销售或者提供法律、行政法规禁止交易的商品或者服务。</w:t>
            </w:r>
          </w:p>
          <w:p w14:paraId="3789E570">
            <w:pPr>
              <w:keepNext w:val="0"/>
              <w:keepLines w:val="0"/>
              <w:pageBreakBefore w:val="0"/>
              <w:widowControl/>
              <w:spacing w:line="280" w:lineRule="exact"/>
              <w:rPr>
                <w:rStyle w:val="185"/>
                <w:rFonts w:hint="eastAsia" w:ascii="Times New Roman" w:hAnsi="Times New Roman" w:eastAsia="仿宋_GB2312" w:cs="仿宋_GB2312"/>
                <w:strike w:val="0"/>
                <w:color w:val="auto"/>
                <w:sz w:val="21"/>
                <w:szCs w:val="21"/>
                <w:highlight w:val="none"/>
              </w:rPr>
            </w:pPr>
            <w:r>
              <w:rPr>
                <w:rStyle w:val="185"/>
                <w:rFonts w:hint="eastAsia" w:ascii="Times New Roman" w:hAnsi="Times New Roman" w:eastAsia="仿宋_GB2312" w:cs="仿宋_GB2312"/>
                <w:strike w:val="0"/>
                <w:color w:val="auto"/>
                <w:sz w:val="21"/>
                <w:szCs w:val="21"/>
                <w:highlight w:val="none"/>
              </w:rPr>
              <w:t>第二十九条</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电子商务平台经营者发现平台内的商品或者服务信息存在违反本法第十二条、第十三条规定情形的，应当依法采取必要的处置措施，并向有关主管部门报告。</w:t>
            </w:r>
          </w:p>
          <w:p w14:paraId="4A949B7B">
            <w:pPr>
              <w:keepNext w:val="0"/>
              <w:keepLines w:val="0"/>
              <w:pageBreakBefore w:val="0"/>
              <w:widowControl/>
              <w:spacing w:line="280" w:lineRule="exact"/>
              <w:rPr>
                <w:rFonts w:hint="eastAsia" w:ascii="Times New Roman" w:hAnsi="Times New Roman" w:eastAsia="仿宋_GB2312" w:cs="仿宋_GB2312"/>
                <w:b/>
                <w:bCs/>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rPr>
              <w:t>第八十条第一款第三项</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电子商务平台经营者有下列行为之一的，由有关主管部门责令限期改正；逾期不改正的，处二万元以上十万元以下的罚款；情节严重的，责令停业整顿，并处十万元以上五十万元以下的罚款：（三）不按照本法第二十九条规定对违法情形采取必要的处置措施，或者未向有关主管部门报告的；</w:t>
            </w:r>
          </w:p>
        </w:tc>
      </w:tr>
      <w:tr w14:paraId="1AB4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307" w:type="pct"/>
            <w:noWrap w:val="0"/>
            <w:vAlign w:val="center"/>
          </w:tcPr>
          <w:p w14:paraId="3846DA73">
            <w:pPr>
              <w:widowControl/>
              <w:spacing w:line="280" w:lineRule="exact"/>
              <w:jc w:val="center"/>
              <w:rPr>
                <w:rFonts w:hint="eastAsia"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9</w:t>
            </w:r>
          </w:p>
        </w:tc>
        <w:tc>
          <w:tcPr>
            <w:tcW w:w="898" w:type="pct"/>
            <w:noWrap w:val="0"/>
            <w:vAlign w:val="center"/>
          </w:tcPr>
          <w:p w14:paraId="44F265E7">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电子商务平台经营者未记录、保存平台上发布的商品和服务信息</w:t>
            </w:r>
          </w:p>
        </w:tc>
        <w:tc>
          <w:tcPr>
            <w:tcW w:w="789" w:type="pct"/>
            <w:noWrap w:val="0"/>
            <w:vAlign w:val="center"/>
          </w:tcPr>
          <w:p w14:paraId="7FB08D78">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72B478B5">
            <w:pPr>
              <w:keepNext w:val="0"/>
              <w:keepLines w:val="0"/>
              <w:pageBreakBefore w:val="0"/>
              <w:widowControl/>
              <w:spacing w:line="280" w:lineRule="exact"/>
              <w:jc w:val="lef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《中华人民共和国电子商务法》</w:t>
            </w:r>
            <w:r>
              <w:rPr>
                <w:rStyle w:val="185"/>
                <w:rFonts w:hint="eastAsia" w:ascii="Times New Roman" w:hAnsi="Times New Roman" w:eastAsia="仿宋_GB2312" w:cs="仿宋_GB2312"/>
                <w:strike w:val="0"/>
                <w:color w:val="auto"/>
                <w:sz w:val="21"/>
                <w:szCs w:val="21"/>
                <w:highlight w:val="none"/>
              </w:rPr>
              <w:t>第三十一条  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14:paraId="6F890CBB">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rPr>
              <w:t>第八十条第一款第四项  电子商务平台经营者有下列行为之一的</w:t>
            </w:r>
            <w:r>
              <w:rPr>
                <w:rStyle w:val="185"/>
                <w:rFonts w:hint="eastAsia" w:eastAsia="仿宋_GB2312" w:cs="仿宋_GB2312"/>
                <w:strike w:val="0"/>
                <w:color w:val="auto"/>
                <w:sz w:val="21"/>
                <w:szCs w:val="21"/>
                <w:highlight w:val="none"/>
                <w:lang w:eastAsia="zh-CN"/>
              </w:rPr>
              <w:t>，</w:t>
            </w:r>
            <w:r>
              <w:rPr>
                <w:rStyle w:val="185"/>
                <w:rFonts w:hint="eastAsia" w:ascii="Times New Roman" w:hAnsi="Times New Roman" w:eastAsia="仿宋_GB2312" w:cs="仿宋_GB2312"/>
                <w:strike w:val="0"/>
                <w:color w:val="auto"/>
                <w:sz w:val="21"/>
                <w:szCs w:val="21"/>
                <w:highlight w:val="none"/>
              </w:rPr>
              <w:t>由有关主管部门责令限期改正</w:t>
            </w:r>
            <w:r>
              <w:rPr>
                <w:rStyle w:val="185"/>
                <w:rFonts w:hint="eastAsia" w:eastAsia="仿宋_GB2312" w:cs="仿宋_GB2312"/>
                <w:strike w:val="0"/>
                <w:color w:val="auto"/>
                <w:sz w:val="21"/>
                <w:szCs w:val="21"/>
                <w:highlight w:val="none"/>
                <w:lang w:eastAsia="zh-CN"/>
              </w:rPr>
              <w:t>；</w:t>
            </w:r>
            <w:r>
              <w:rPr>
                <w:rStyle w:val="185"/>
                <w:rFonts w:hint="eastAsia" w:ascii="Times New Roman" w:hAnsi="Times New Roman" w:eastAsia="仿宋_GB2312" w:cs="仿宋_GB2312"/>
                <w:strike w:val="0"/>
                <w:color w:val="auto"/>
                <w:sz w:val="21"/>
                <w:szCs w:val="21"/>
                <w:highlight w:val="none"/>
              </w:rPr>
              <w:t>逾期不改正的</w:t>
            </w:r>
            <w:r>
              <w:rPr>
                <w:rStyle w:val="185"/>
                <w:rFonts w:hint="eastAsia" w:eastAsia="仿宋_GB2312" w:cs="仿宋_GB2312"/>
                <w:strike w:val="0"/>
                <w:color w:val="auto"/>
                <w:sz w:val="21"/>
                <w:szCs w:val="21"/>
                <w:highlight w:val="none"/>
                <w:lang w:eastAsia="zh-CN"/>
              </w:rPr>
              <w:t>，</w:t>
            </w:r>
            <w:r>
              <w:rPr>
                <w:rStyle w:val="185"/>
                <w:rFonts w:hint="eastAsia" w:ascii="Times New Roman" w:hAnsi="Times New Roman" w:eastAsia="仿宋_GB2312" w:cs="仿宋_GB2312"/>
                <w:strike w:val="0"/>
                <w:color w:val="auto"/>
                <w:sz w:val="21"/>
                <w:szCs w:val="21"/>
                <w:highlight w:val="none"/>
              </w:rPr>
              <w:t>处二万元以上十万元以下的罚款</w:t>
            </w:r>
            <w:r>
              <w:rPr>
                <w:rStyle w:val="185"/>
                <w:rFonts w:hint="eastAsia" w:eastAsia="仿宋_GB2312" w:cs="仿宋_GB2312"/>
                <w:strike w:val="0"/>
                <w:color w:val="auto"/>
                <w:sz w:val="21"/>
                <w:szCs w:val="21"/>
                <w:highlight w:val="none"/>
                <w:lang w:eastAsia="zh-CN"/>
              </w:rPr>
              <w:t>；</w:t>
            </w:r>
            <w:r>
              <w:rPr>
                <w:rStyle w:val="185"/>
                <w:rFonts w:hint="eastAsia" w:ascii="Times New Roman" w:hAnsi="Times New Roman" w:eastAsia="仿宋_GB2312" w:cs="仿宋_GB2312"/>
                <w:strike w:val="0"/>
                <w:color w:val="auto"/>
                <w:sz w:val="21"/>
                <w:szCs w:val="21"/>
                <w:highlight w:val="none"/>
              </w:rPr>
              <w:t>情节严重的</w:t>
            </w:r>
            <w:r>
              <w:rPr>
                <w:rStyle w:val="185"/>
                <w:rFonts w:hint="eastAsia" w:eastAsia="仿宋_GB2312" w:cs="仿宋_GB2312"/>
                <w:strike w:val="0"/>
                <w:color w:val="auto"/>
                <w:sz w:val="21"/>
                <w:szCs w:val="21"/>
                <w:highlight w:val="none"/>
                <w:lang w:eastAsia="zh-CN"/>
              </w:rPr>
              <w:t>，</w:t>
            </w:r>
            <w:r>
              <w:rPr>
                <w:rStyle w:val="185"/>
                <w:rFonts w:hint="eastAsia" w:ascii="Times New Roman" w:hAnsi="Times New Roman" w:eastAsia="仿宋_GB2312" w:cs="仿宋_GB2312"/>
                <w:strike w:val="0"/>
                <w:color w:val="auto"/>
                <w:sz w:val="21"/>
                <w:szCs w:val="21"/>
                <w:highlight w:val="none"/>
              </w:rPr>
              <w:t>责令停业整顿</w:t>
            </w:r>
            <w:r>
              <w:rPr>
                <w:rStyle w:val="185"/>
                <w:rFonts w:hint="eastAsia" w:eastAsia="仿宋_GB2312" w:cs="仿宋_GB2312"/>
                <w:strike w:val="0"/>
                <w:color w:val="auto"/>
                <w:sz w:val="21"/>
                <w:szCs w:val="21"/>
                <w:highlight w:val="none"/>
                <w:lang w:eastAsia="zh-CN"/>
              </w:rPr>
              <w:t>，</w:t>
            </w:r>
            <w:r>
              <w:rPr>
                <w:rStyle w:val="185"/>
                <w:rFonts w:hint="eastAsia" w:ascii="Times New Roman" w:hAnsi="Times New Roman" w:eastAsia="仿宋_GB2312" w:cs="仿宋_GB2312"/>
                <w:strike w:val="0"/>
                <w:color w:val="auto"/>
                <w:sz w:val="21"/>
                <w:szCs w:val="21"/>
                <w:highlight w:val="none"/>
              </w:rPr>
              <w:t>并处十万元以上五十万元以下的罚款</w:t>
            </w:r>
            <w:r>
              <w:rPr>
                <w:rStyle w:val="185"/>
                <w:rFonts w:hint="eastAsia" w:eastAsia="仿宋_GB2312" w:cs="仿宋_GB2312"/>
                <w:strike w:val="0"/>
                <w:color w:val="auto"/>
                <w:sz w:val="21"/>
                <w:szCs w:val="21"/>
                <w:highlight w:val="none"/>
                <w:lang w:eastAsia="zh-CN"/>
              </w:rPr>
              <w:t>：（</w:t>
            </w:r>
            <w:r>
              <w:rPr>
                <w:rStyle w:val="185"/>
                <w:rFonts w:hint="eastAsia" w:ascii="Times New Roman" w:hAnsi="Times New Roman" w:eastAsia="仿宋_GB2312" w:cs="仿宋_GB2312"/>
                <w:strike w:val="0"/>
                <w:color w:val="auto"/>
                <w:sz w:val="21"/>
                <w:szCs w:val="21"/>
                <w:highlight w:val="none"/>
              </w:rPr>
              <w:t>四</w:t>
            </w:r>
            <w:r>
              <w:rPr>
                <w:rStyle w:val="185"/>
                <w:rFonts w:hint="eastAsia" w:eastAsia="仿宋_GB2312" w:cs="仿宋_GB2312"/>
                <w:strike w:val="0"/>
                <w:color w:val="auto"/>
                <w:sz w:val="21"/>
                <w:szCs w:val="21"/>
                <w:highlight w:val="none"/>
                <w:lang w:eastAsia="zh-CN"/>
              </w:rPr>
              <w:t>）</w:t>
            </w:r>
            <w:r>
              <w:rPr>
                <w:rStyle w:val="185"/>
                <w:rFonts w:hint="eastAsia" w:ascii="Times New Roman" w:hAnsi="Times New Roman" w:eastAsia="仿宋_GB2312" w:cs="仿宋_GB2312"/>
                <w:strike w:val="0"/>
                <w:color w:val="auto"/>
                <w:sz w:val="21"/>
                <w:szCs w:val="21"/>
                <w:highlight w:val="none"/>
              </w:rPr>
              <w:t>不履行本法第三十一条规定的商品和服务信息、交易信息保存义务的。</w:t>
            </w:r>
          </w:p>
        </w:tc>
      </w:tr>
      <w:tr w14:paraId="3CDF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307" w:type="pct"/>
            <w:noWrap w:val="0"/>
            <w:vAlign w:val="center"/>
          </w:tcPr>
          <w:p w14:paraId="51D1E7C9">
            <w:pPr>
              <w:widowControl/>
              <w:spacing w:line="280" w:lineRule="exact"/>
              <w:jc w:val="center"/>
              <w:rPr>
                <w:rFonts w:hint="eastAsia"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10</w:t>
            </w:r>
          </w:p>
        </w:tc>
        <w:tc>
          <w:tcPr>
            <w:tcW w:w="898" w:type="pct"/>
            <w:noWrap w:val="0"/>
            <w:vAlign w:val="center"/>
          </w:tcPr>
          <w:p w14:paraId="5A32A525">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网络交易平台经营者拒不为入驻的平台内经营者出具网络经营场所相关材料</w:t>
            </w:r>
          </w:p>
        </w:tc>
        <w:tc>
          <w:tcPr>
            <w:tcW w:w="789" w:type="pct"/>
            <w:noWrap w:val="0"/>
            <w:vAlign w:val="center"/>
          </w:tcPr>
          <w:p w14:paraId="3C1E8B14">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3CFA8578">
            <w:pPr>
              <w:keepNext w:val="0"/>
              <w:keepLines w:val="0"/>
              <w:pageBreakBefore w:val="0"/>
              <w:widowControl/>
              <w:spacing w:line="280" w:lineRule="exact"/>
              <w:rPr>
                <w:rFonts w:hint="eastAsia" w:ascii="Times New Roman" w:hAnsi="Times New Roman" w:eastAsia="仿宋_GB2312" w:cs="仿宋_GB2312"/>
                <w:b/>
                <w:bCs/>
                <w:strike w:val="0"/>
                <w:color w:val="auto"/>
                <w:sz w:val="21"/>
                <w:szCs w:val="21"/>
                <w:highlight w:val="none"/>
                <w:lang w:val="en-US" w:eastAsia="zh-CN" w:bidi="ar-SA"/>
              </w:rPr>
            </w:pPr>
            <w:r>
              <w:rPr>
                <w:rStyle w:val="184"/>
                <w:rFonts w:hint="eastAsia" w:ascii="Times New Roman" w:hAnsi="Times New Roman" w:eastAsia="仿宋_GB2312" w:cs="仿宋_GB2312"/>
                <w:strike w:val="0"/>
                <w:color w:val="auto"/>
                <w:sz w:val="21"/>
                <w:szCs w:val="21"/>
                <w:highlight w:val="none"/>
              </w:rPr>
              <w:t>《网络交易监督管理办法》</w:t>
            </w:r>
            <w:r>
              <w:rPr>
                <w:rStyle w:val="185"/>
                <w:rFonts w:hint="eastAsia" w:ascii="Times New Roman" w:hAnsi="Times New Roman" w:eastAsia="仿宋_GB2312" w:cs="仿宋_GB2312"/>
                <w:strike w:val="0"/>
                <w:color w:val="auto"/>
                <w:sz w:val="21"/>
                <w:szCs w:val="21"/>
                <w:highlight w:val="none"/>
              </w:rPr>
              <w:t>第十条  平台内经营者申请将网络经营场所登记为经营场所的，由其入驻的网络交易平台为其出具符合登记机关要求的网络经营场所相关材料。第四十条  网络交易平台经营者违反本办法第十条，拒不为入驻的平台内经营者出具网络经营场所相关材料的，由市场监督管理部门责令限期改正；逾期不改正的，处一万元以上三万元以下罚款。</w:t>
            </w:r>
          </w:p>
        </w:tc>
      </w:tr>
      <w:tr w14:paraId="48C1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jc w:val="center"/>
        </w:trPr>
        <w:tc>
          <w:tcPr>
            <w:tcW w:w="307" w:type="pct"/>
            <w:noWrap w:val="0"/>
            <w:vAlign w:val="center"/>
          </w:tcPr>
          <w:p w14:paraId="272B753A">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11</w:t>
            </w:r>
          </w:p>
        </w:tc>
        <w:tc>
          <w:tcPr>
            <w:tcW w:w="898" w:type="pct"/>
            <w:noWrap w:val="0"/>
            <w:vAlign w:val="center"/>
          </w:tcPr>
          <w:p w14:paraId="4137BB7A">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通过网络社交、网络直播等网络服务开展网络交易活动的网络交易经营者，未以显著方式展示商品或者服务及其实际经营主体、售后服务等信息，或者上述信息的链接标识</w:t>
            </w:r>
          </w:p>
        </w:tc>
        <w:tc>
          <w:tcPr>
            <w:tcW w:w="789" w:type="pct"/>
            <w:noWrap w:val="0"/>
            <w:vAlign w:val="center"/>
          </w:tcPr>
          <w:p w14:paraId="45BEFC72">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67B222DC">
            <w:pPr>
              <w:keepNext w:val="0"/>
              <w:keepLines w:val="0"/>
              <w:pageBreakBefore w:val="0"/>
              <w:widowControl/>
              <w:spacing w:line="280" w:lineRule="exac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《网络交易监督管理办法》</w:t>
            </w:r>
            <w:r>
              <w:rPr>
                <w:rStyle w:val="185"/>
                <w:rFonts w:hint="eastAsia" w:ascii="Times New Roman" w:hAnsi="Times New Roman" w:eastAsia="仿宋_GB2312" w:cs="仿宋_GB2312"/>
                <w:strike w:val="0"/>
                <w:color w:val="auto"/>
                <w:sz w:val="21"/>
                <w:szCs w:val="21"/>
                <w:highlight w:val="none"/>
              </w:rPr>
              <w:t>第二十条  通过网络社交、网络直播等网络服务开展网络交易活动的网络交易经营者，应当以显著方式展示商品或者服务及其实际经营主体、售后服务等信息，或者上述信息的链接标识。</w:t>
            </w:r>
          </w:p>
          <w:p w14:paraId="79297AD3">
            <w:pPr>
              <w:keepNext w:val="0"/>
              <w:keepLines w:val="0"/>
              <w:pageBreakBefore w:val="0"/>
              <w:widowControl/>
              <w:spacing w:line="280" w:lineRule="exact"/>
              <w:rPr>
                <w:rFonts w:hint="eastAsia" w:ascii="Times New Roman" w:hAnsi="Times New Roman" w:eastAsia="仿宋_GB2312" w:cs="仿宋_GB2312"/>
                <w:b/>
                <w:bCs/>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rPr>
              <w:t>第四十五条  网络交易经营者违反本办法第二十条，法律、行政法规有规定的，依照其规定；法律、行政法规没有规定的，由市场监督管理部门责令限期改正；逾期不改正的，处一万元以下罚款。</w:t>
            </w:r>
          </w:p>
        </w:tc>
      </w:tr>
      <w:tr w14:paraId="11A6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jc w:val="center"/>
        </w:trPr>
        <w:tc>
          <w:tcPr>
            <w:tcW w:w="307" w:type="pct"/>
            <w:noWrap w:val="0"/>
            <w:vAlign w:val="center"/>
          </w:tcPr>
          <w:p w14:paraId="39A5B3E9">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12</w:t>
            </w:r>
          </w:p>
        </w:tc>
        <w:tc>
          <w:tcPr>
            <w:tcW w:w="898" w:type="pct"/>
            <w:noWrap w:val="0"/>
            <w:vAlign w:val="center"/>
          </w:tcPr>
          <w:p w14:paraId="16D8A47C">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网络交易经营者未按照有关要求，提供特定时段、特定品类、特定区域的商品或者服务的价格、销量、销售额等数据信息</w:t>
            </w:r>
          </w:p>
        </w:tc>
        <w:tc>
          <w:tcPr>
            <w:tcW w:w="789" w:type="pct"/>
            <w:noWrap w:val="0"/>
            <w:vAlign w:val="center"/>
          </w:tcPr>
          <w:p w14:paraId="032A0C12">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53291FAF">
            <w:pPr>
              <w:keepNext w:val="0"/>
              <w:keepLines w:val="0"/>
              <w:pageBreakBefore w:val="0"/>
              <w:widowControl/>
              <w:spacing w:line="280" w:lineRule="exac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《网络交易监督管理办法》</w:t>
            </w:r>
            <w:r>
              <w:rPr>
                <w:rStyle w:val="185"/>
                <w:rFonts w:hint="eastAsia" w:ascii="Times New Roman" w:hAnsi="Times New Roman" w:eastAsia="仿宋_GB2312" w:cs="仿宋_GB2312"/>
                <w:strike w:val="0"/>
                <w:color w:val="auto"/>
                <w:sz w:val="21"/>
                <w:szCs w:val="21"/>
                <w:highlight w:val="none"/>
              </w:rPr>
              <w:t>第二十二条  网络交易经营者应当按照国家市场监督管理总局及其授权的省级市场监督管理部门的要求，提供特定时段、特定品类、特定区域的商品或者服务的价格、销量、销售额等数据信息。</w:t>
            </w:r>
          </w:p>
          <w:p w14:paraId="15D23A10">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rPr>
              <w:t>第四十六条  网络交易经营者违反本办法第二十二条的，由市场监督管理部门责令限期改正；逾期不改正的，处五千元以上三万元以下罚款。</w:t>
            </w:r>
          </w:p>
        </w:tc>
      </w:tr>
      <w:tr w14:paraId="75BD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6" w:hRule="atLeast"/>
          <w:jc w:val="center"/>
        </w:trPr>
        <w:tc>
          <w:tcPr>
            <w:tcW w:w="307" w:type="pct"/>
            <w:noWrap w:val="0"/>
            <w:vAlign w:val="center"/>
          </w:tcPr>
          <w:p w14:paraId="68BACD9A">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13</w:t>
            </w:r>
          </w:p>
        </w:tc>
        <w:tc>
          <w:tcPr>
            <w:tcW w:w="898" w:type="pct"/>
            <w:noWrap w:val="0"/>
            <w:vAlign w:val="center"/>
          </w:tcPr>
          <w:p w14:paraId="2803207B">
            <w:pPr>
              <w:keepNext w:val="0"/>
              <w:keepLines w:val="0"/>
              <w:pageBreakBefore w:val="0"/>
              <w:widowControl/>
              <w:spacing w:line="300" w:lineRule="exac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网络交易平台经营者不能以显著方式区分标记已办理市场主体登记的经营者和未办理市场主体登记的经营者；未完整保存修改后的服务协议和交易规则版本生效之日前三年的全部历史版本；未能依据法律、法规、规章的规定或者平台服务协议和交易规则对平台内经营者违法行为采取警示、暂停或者终止服务等处理措施。</w:t>
            </w:r>
          </w:p>
        </w:tc>
        <w:tc>
          <w:tcPr>
            <w:tcW w:w="789" w:type="pct"/>
            <w:noWrap w:val="0"/>
            <w:vAlign w:val="center"/>
          </w:tcPr>
          <w:p w14:paraId="4444A77A">
            <w:pPr>
              <w:keepNext w:val="0"/>
              <w:keepLines w:val="0"/>
              <w:pageBreakBefore w:val="0"/>
              <w:widowControl/>
              <w:spacing w:line="300" w:lineRule="exac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0B33980E">
            <w:pPr>
              <w:keepNext w:val="0"/>
              <w:keepLines w:val="0"/>
              <w:pageBreakBefore w:val="0"/>
              <w:widowControl/>
              <w:spacing w:line="320" w:lineRule="exac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《网络交易监督管理办法》</w:t>
            </w:r>
            <w:r>
              <w:rPr>
                <w:rStyle w:val="185"/>
                <w:rFonts w:hint="eastAsia" w:ascii="Times New Roman" w:hAnsi="Times New Roman" w:eastAsia="仿宋_GB2312" w:cs="仿宋_GB2312"/>
                <w:strike w:val="0"/>
                <w:color w:val="auto"/>
                <w:sz w:val="21"/>
                <w:szCs w:val="21"/>
                <w:highlight w:val="none"/>
              </w:rPr>
              <w:t>第二十七条  网络交易平台经营者应当以显著方式区分标记已办理市场主体登记的经营者和未办理市场主体登记的经营者，确保消费者能够清晰辨认。第二十八条  网络交易平台经营者修改平台服务协议和交易规则的，应当完整保存修改后的版本生效之日前三年的全部历史版本，并保证经营者和消费者能够便利、完整地阅览和下载。</w:t>
            </w:r>
          </w:p>
          <w:p w14:paraId="60EA22CD">
            <w:pPr>
              <w:keepNext w:val="0"/>
              <w:keepLines w:val="0"/>
              <w:pageBreakBefore w:val="0"/>
              <w:widowControl/>
              <w:spacing w:line="320" w:lineRule="exact"/>
              <w:rPr>
                <w:rStyle w:val="185"/>
                <w:rFonts w:hint="eastAsia" w:ascii="Times New Roman" w:hAnsi="Times New Roman" w:eastAsia="仿宋_GB2312" w:cs="仿宋_GB2312"/>
                <w:strike w:val="0"/>
                <w:color w:val="auto"/>
                <w:sz w:val="21"/>
                <w:szCs w:val="21"/>
                <w:highlight w:val="none"/>
              </w:rPr>
            </w:pPr>
            <w:r>
              <w:rPr>
                <w:rStyle w:val="185"/>
                <w:rFonts w:hint="eastAsia" w:ascii="Times New Roman" w:hAnsi="Times New Roman" w:eastAsia="仿宋_GB2312" w:cs="仿宋_GB2312"/>
                <w:strike w:val="0"/>
                <w:color w:val="auto"/>
                <w:sz w:val="21"/>
                <w:szCs w:val="21"/>
                <w:highlight w:val="none"/>
              </w:rPr>
              <w:t>第三十条  网络交易平台经营者依据法律、法规、规章的规定或者平台服务协议和交易规则对平台内经营者违法行为采取警示、暂停或者终止服务等处理措施的，应当自决定作出处理措施之日起一个工作日内予以公示，载明平台内经营者的网店名称、违法行为、处理措施等信息。警示、暂停服务等短期处理措施的相关信息应当持续公示至处理措施实施期满之日止。</w:t>
            </w:r>
          </w:p>
          <w:p w14:paraId="26D0A9DD">
            <w:pPr>
              <w:keepNext w:val="0"/>
              <w:keepLines w:val="0"/>
              <w:pageBreakBefore w:val="0"/>
              <w:widowControl/>
              <w:spacing w:line="320" w:lineRule="exact"/>
              <w:rPr>
                <w:rFonts w:hint="eastAsia" w:ascii="Times New Roman" w:hAnsi="Times New Roman" w:eastAsia="仿宋_GB2312" w:cs="仿宋_GB2312"/>
                <w:b/>
                <w:bCs/>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rPr>
              <w:t>第四十八条  网络交易平台经营者违反本办法第二十七条、第二十八条、第三十条的，由市场监督管理部门责令限期改正；逾期不改正的，处一万元以上三万元以下罚款。</w:t>
            </w:r>
          </w:p>
        </w:tc>
      </w:tr>
      <w:tr w14:paraId="4801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jc w:val="center"/>
        </w:trPr>
        <w:tc>
          <w:tcPr>
            <w:tcW w:w="307" w:type="pct"/>
            <w:noWrap w:val="0"/>
            <w:vAlign w:val="center"/>
          </w:tcPr>
          <w:p w14:paraId="7C1386F9">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Style w:val="184"/>
                <w:rFonts w:hint="eastAsia" w:ascii="Times New Roman" w:hAnsi="Times New Roman" w:eastAsia="仿宋_GB2312"/>
                <w:b w:val="0"/>
                <w:bCs w:val="0"/>
                <w:strike w:val="0"/>
                <w:color w:val="auto"/>
                <w:sz w:val="21"/>
                <w:szCs w:val="21"/>
                <w:highlight w:val="none"/>
                <w:lang w:val="en-US" w:eastAsia="zh-CN"/>
              </w:rPr>
              <w:t>14</w:t>
            </w:r>
          </w:p>
        </w:tc>
        <w:tc>
          <w:tcPr>
            <w:tcW w:w="898" w:type="pct"/>
            <w:noWrap w:val="0"/>
            <w:vAlign w:val="center"/>
          </w:tcPr>
          <w:p w14:paraId="2999C2B1">
            <w:pPr>
              <w:keepNext w:val="0"/>
              <w:keepLines w:val="0"/>
              <w:pageBreakBefore w:val="0"/>
              <w:widowControl/>
              <w:spacing w:line="300" w:lineRule="exact"/>
              <w:jc w:val="both"/>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集体商标、证明商标注册人没有对该商标的使用进行有效管理或者控制，致使该商标使用的商品达不到其使用管理规则的要求，对消费者造成损害的</w:t>
            </w:r>
          </w:p>
        </w:tc>
        <w:tc>
          <w:tcPr>
            <w:tcW w:w="789" w:type="pct"/>
            <w:noWrap w:val="0"/>
            <w:vAlign w:val="center"/>
          </w:tcPr>
          <w:p w14:paraId="082A5135">
            <w:pPr>
              <w:keepNext w:val="0"/>
              <w:keepLines w:val="0"/>
              <w:pageBreakBefore w:val="0"/>
              <w:widowControl/>
              <w:spacing w:line="300" w:lineRule="exac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486BFE13">
            <w:pPr>
              <w:keepNext w:val="0"/>
              <w:keepLines w:val="0"/>
              <w:pageBreakBefore w:val="0"/>
              <w:widowControl/>
              <w:spacing w:line="300" w:lineRule="exact"/>
              <w:jc w:val="both"/>
              <w:rPr>
                <w:rFonts w:hint="eastAsia" w:ascii="Times New Roman" w:hAnsi="Times New Roman" w:eastAsia="仿宋_GB2312" w:cs="仿宋_GB2312"/>
                <w:b/>
                <w:bCs/>
                <w:strike w:val="0"/>
                <w:color w:val="auto"/>
                <w:sz w:val="21"/>
                <w:szCs w:val="21"/>
                <w:highlight w:val="none"/>
                <w:lang w:val="en-US" w:eastAsia="zh-CN" w:bidi="ar-SA"/>
              </w:rPr>
            </w:pPr>
            <w:r>
              <w:rPr>
                <w:rStyle w:val="184"/>
                <w:rFonts w:hint="eastAsia" w:ascii="Times New Roman" w:hAnsi="Times New Roman" w:eastAsia="仿宋_GB2312" w:cs="仿宋_GB2312"/>
                <w:strike w:val="0"/>
                <w:color w:val="auto"/>
                <w:sz w:val="21"/>
                <w:szCs w:val="21"/>
                <w:highlight w:val="none"/>
              </w:rPr>
              <w:t>《集体商标、证明商标注册和管理办法》</w:t>
            </w:r>
            <w:r>
              <w:rPr>
                <w:rStyle w:val="185"/>
                <w:rFonts w:hint="eastAsia" w:ascii="Times New Roman" w:hAnsi="Times New Roman" w:eastAsia="仿宋_GB2312" w:cs="仿宋_GB2312"/>
                <w:strike w:val="0"/>
                <w:color w:val="auto"/>
                <w:sz w:val="21"/>
                <w:szCs w:val="21"/>
                <w:highlight w:val="none"/>
              </w:rPr>
              <w:t>第十七条：集体商标注册人的集体成员，在履行该集体商标使用管理规则规定的手续后，可以使用该集体商标。第二十一条：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tc>
      </w:tr>
      <w:tr w14:paraId="2E02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307" w:type="pct"/>
            <w:noWrap w:val="0"/>
            <w:vAlign w:val="center"/>
          </w:tcPr>
          <w:p w14:paraId="50B28411">
            <w:pPr>
              <w:widowControl/>
              <w:spacing w:line="280" w:lineRule="exact"/>
              <w:jc w:val="center"/>
              <w:rPr>
                <w:rFonts w:hint="eastAsia" w:ascii="Times New Roman" w:hAnsi="Times New Roman" w:eastAsia="仿宋_GB2312" w:cs="仿宋_GB2312"/>
                <w:b w:val="0"/>
                <w:bCs w:val="0"/>
                <w:strike w:val="0"/>
                <w:color w:val="auto"/>
                <w:sz w:val="21"/>
                <w:szCs w:val="21"/>
                <w:highlight w:val="none"/>
                <w:lang w:val="en-US" w:eastAsia="zh-CN" w:bidi="ar-SA"/>
              </w:rPr>
            </w:pPr>
            <w:r>
              <w:rPr>
                <w:rStyle w:val="184"/>
                <w:rFonts w:hint="eastAsia" w:ascii="Times New Roman" w:hAnsi="Times New Roman"/>
                <w:b w:val="0"/>
                <w:bCs w:val="0"/>
                <w:strike w:val="0"/>
                <w:color w:val="auto"/>
                <w:sz w:val="21"/>
                <w:szCs w:val="21"/>
                <w:highlight w:val="none"/>
                <w:lang w:val="en-US" w:eastAsia="zh-CN"/>
              </w:rPr>
              <w:t>15</w:t>
            </w:r>
          </w:p>
        </w:tc>
        <w:tc>
          <w:tcPr>
            <w:tcW w:w="898" w:type="pct"/>
            <w:noWrap w:val="0"/>
            <w:vAlign w:val="center"/>
          </w:tcPr>
          <w:p w14:paraId="6394349D">
            <w:pPr>
              <w:keepNext w:val="0"/>
              <w:keepLines w:val="0"/>
              <w:pageBreakBefore w:val="0"/>
              <w:widowControl/>
              <w:spacing w:line="30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被许可使用他人注册商标，未在使用该注册商标商品上标注被许可人的名称和商品产地的</w:t>
            </w:r>
          </w:p>
        </w:tc>
        <w:tc>
          <w:tcPr>
            <w:tcW w:w="789" w:type="pct"/>
            <w:noWrap w:val="0"/>
            <w:vAlign w:val="center"/>
          </w:tcPr>
          <w:p w14:paraId="4FCF9EFD">
            <w:pPr>
              <w:keepNext w:val="0"/>
              <w:keepLines w:val="0"/>
              <w:pageBreakBefore w:val="0"/>
              <w:widowControl/>
              <w:spacing w:line="30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4DC18250">
            <w:pPr>
              <w:keepNext w:val="0"/>
              <w:keepLines w:val="0"/>
              <w:pageBreakBefore w:val="0"/>
              <w:widowControl/>
              <w:spacing w:line="300" w:lineRule="exac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《中华人民共和国商标法》</w:t>
            </w:r>
            <w:r>
              <w:rPr>
                <w:rStyle w:val="185"/>
                <w:rFonts w:hint="eastAsia" w:ascii="Times New Roman" w:hAnsi="Times New Roman" w:eastAsia="仿宋_GB2312" w:cs="仿宋_GB2312"/>
                <w:strike w:val="0"/>
                <w:color w:val="auto"/>
                <w:sz w:val="21"/>
                <w:szCs w:val="21"/>
                <w:highlight w:val="none"/>
              </w:rPr>
              <w:t>第四十三条第二款</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 xml:space="preserve"> 经许可使用他人注册商标的，必须在使用该注册商标的商品上标明被许可人的名称和商品产地。</w:t>
            </w:r>
          </w:p>
          <w:p w14:paraId="2BFC9682">
            <w:pPr>
              <w:keepNext w:val="0"/>
              <w:keepLines w:val="0"/>
              <w:pageBreakBefore w:val="0"/>
              <w:widowControl/>
              <w:spacing w:line="300" w:lineRule="exact"/>
              <w:rPr>
                <w:rFonts w:hint="eastAsia" w:ascii="Times New Roman" w:hAnsi="Times New Roman" w:eastAsia="仿宋_GB2312" w:cs="仿宋_GB2312"/>
                <w:b/>
                <w:bCs/>
                <w:strike w:val="0"/>
                <w:color w:val="auto"/>
                <w:sz w:val="21"/>
                <w:szCs w:val="21"/>
                <w:highlight w:val="none"/>
                <w:lang w:val="en-US" w:eastAsia="zh-CN" w:bidi="ar-SA"/>
              </w:rPr>
            </w:pPr>
            <w:r>
              <w:rPr>
                <w:rStyle w:val="184"/>
                <w:rFonts w:hint="eastAsia" w:ascii="Times New Roman" w:hAnsi="Times New Roman" w:eastAsia="仿宋_GB2312" w:cs="仿宋_GB2312"/>
                <w:strike w:val="0"/>
                <w:color w:val="auto"/>
                <w:sz w:val="21"/>
                <w:szCs w:val="21"/>
                <w:highlight w:val="none"/>
              </w:rPr>
              <w:t>《中华人民共和国商标法实施条例》</w:t>
            </w:r>
            <w:r>
              <w:rPr>
                <w:rStyle w:val="185"/>
                <w:rFonts w:hint="eastAsia" w:ascii="Times New Roman" w:hAnsi="Times New Roman" w:eastAsia="仿宋_GB2312" w:cs="仿宋_GB2312"/>
                <w:strike w:val="0"/>
                <w:color w:val="auto"/>
                <w:sz w:val="21"/>
                <w:szCs w:val="21"/>
                <w:highlight w:val="none"/>
              </w:rPr>
              <w:t>第七十一条</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违反商标法第四十三条第二款规定的，由工商行政管理部门责令限期改正；逾期不改正的，责令停止销售，拒不停止销售的，处10万元以下的罚款。</w:t>
            </w:r>
          </w:p>
        </w:tc>
      </w:tr>
      <w:tr w14:paraId="03D9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5" w:hRule="atLeast"/>
          <w:jc w:val="center"/>
        </w:trPr>
        <w:tc>
          <w:tcPr>
            <w:tcW w:w="307" w:type="pct"/>
            <w:noWrap w:val="0"/>
            <w:vAlign w:val="center"/>
          </w:tcPr>
          <w:p w14:paraId="1133F113">
            <w:pPr>
              <w:widowControl/>
              <w:spacing w:line="280" w:lineRule="exact"/>
              <w:jc w:val="center"/>
              <w:rPr>
                <w:rStyle w:val="184"/>
                <w:rFonts w:hint="default" w:ascii="Times New Roman" w:hAnsi="Times New Roman" w:eastAsia="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16</w:t>
            </w:r>
          </w:p>
        </w:tc>
        <w:tc>
          <w:tcPr>
            <w:tcW w:w="898" w:type="pct"/>
            <w:noWrap w:val="0"/>
            <w:vAlign w:val="center"/>
          </w:tcPr>
          <w:p w14:paraId="6E31A2BC">
            <w:pPr>
              <w:keepNext w:val="0"/>
              <w:keepLines w:val="0"/>
              <w:pageBreakBefore w:val="0"/>
              <w:widowControl/>
              <w:spacing w:line="280" w:lineRule="exact"/>
              <w:rPr>
                <w:rFonts w:hint="eastAsia" w:ascii="Times New Roman" w:hAnsi="Times New Roman" w:eastAsia="仿宋_GB2312" w:cs="仿宋_GB2312"/>
                <w:b w:val="0"/>
                <w:bCs w:val="0"/>
                <w:strike w:val="0"/>
                <w:color w:val="auto"/>
                <w:sz w:val="21"/>
                <w:szCs w:val="21"/>
                <w:highlight w:val="none"/>
                <w:lang w:val="en-US" w:eastAsia="zh-CN" w:bidi="ar-SA"/>
              </w:rPr>
            </w:pPr>
            <w:r>
              <w:rPr>
                <w:rStyle w:val="184"/>
                <w:rFonts w:hint="eastAsia" w:ascii="Times New Roman" w:hAnsi="Times New Roman" w:eastAsia="仿宋_GB2312" w:cs="仿宋_GB2312"/>
                <w:b w:val="0"/>
                <w:bCs w:val="0"/>
                <w:strike w:val="0"/>
                <w:color w:val="auto"/>
                <w:sz w:val="21"/>
                <w:szCs w:val="21"/>
                <w:highlight w:val="none"/>
                <w:lang w:eastAsia="zh-CN"/>
              </w:rPr>
              <w:t>市场主体</w:t>
            </w:r>
            <w:r>
              <w:rPr>
                <w:rStyle w:val="184"/>
                <w:rFonts w:hint="eastAsia" w:ascii="Times New Roman" w:hAnsi="Times New Roman" w:eastAsia="仿宋_GB2312" w:cs="仿宋_GB2312"/>
                <w:b w:val="0"/>
                <w:bCs w:val="0"/>
                <w:strike w:val="0"/>
                <w:color w:val="auto"/>
                <w:sz w:val="21"/>
                <w:szCs w:val="21"/>
                <w:highlight w:val="none"/>
              </w:rPr>
              <w:t>未依照规定办理备案的</w:t>
            </w:r>
          </w:p>
        </w:tc>
        <w:tc>
          <w:tcPr>
            <w:tcW w:w="789" w:type="pct"/>
            <w:noWrap w:val="0"/>
            <w:vAlign w:val="center"/>
          </w:tcPr>
          <w:p w14:paraId="295D0B10">
            <w:pPr>
              <w:keepNext w:val="0"/>
              <w:keepLines w:val="0"/>
              <w:pageBreakBefore w:val="0"/>
              <w:widowControl/>
              <w:spacing w:line="320" w:lineRule="exac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494E096C">
            <w:pPr>
              <w:keepNext w:val="0"/>
              <w:keepLines w:val="0"/>
              <w:pageBreakBefore w:val="0"/>
              <w:widowControl/>
              <w:spacing w:line="320" w:lineRule="exact"/>
              <w:rPr>
                <w:rStyle w:val="184"/>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《中华人民共和国市场主体登记管理条例》</w:t>
            </w:r>
          </w:p>
          <w:p w14:paraId="36353370">
            <w:pPr>
              <w:keepNext w:val="0"/>
              <w:keepLines w:val="0"/>
              <w:pageBreakBefore w:val="0"/>
              <w:widowControl/>
              <w:spacing w:line="320" w:lineRule="exact"/>
              <w:ind w:firstLine="420"/>
              <w:rPr>
                <w:rStyle w:val="184"/>
                <w:rFonts w:hint="eastAsia" w:ascii="Times New Roman" w:hAnsi="Times New Roman" w:eastAsia="仿宋_GB2312" w:cs="仿宋_GB2312"/>
                <w:b w:val="0"/>
                <w:bCs w:val="0"/>
                <w:strike w:val="0"/>
                <w:color w:val="auto"/>
                <w:sz w:val="21"/>
                <w:szCs w:val="21"/>
                <w:highlight w:val="none"/>
              </w:rPr>
            </w:pPr>
            <w:r>
              <w:rPr>
                <w:rStyle w:val="184"/>
                <w:rFonts w:hint="eastAsia" w:ascii="Times New Roman" w:hAnsi="Times New Roman" w:eastAsia="仿宋_GB2312" w:cs="仿宋_GB2312"/>
                <w:b w:val="0"/>
                <w:bCs w:val="0"/>
                <w:strike w:val="0"/>
                <w:color w:val="auto"/>
                <w:sz w:val="21"/>
                <w:szCs w:val="21"/>
                <w:highlight w:val="none"/>
              </w:rPr>
              <w:t>第九条</w:t>
            </w:r>
            <w:r>
              <w:rPr>
                <w:rStyle w:val="184"/>
                <w:rFonts w:hint="eastAsia" w:eastAsia="仿宋_GB2312" w:cs="仿宋_GB2312"/>
                <w:b w:val="0"/>
                <w:bCs w:val="0"/>
                <w:strike w:val="0"/>
                <w:color w:val="auto"/>
                <w:sz w:val="21"/>
                <w:szCs w:val="21"/>
                <w:highlight w:val="none"/>
                <w:lang w:val="en-US" w:eastAsia="zh-CN"/>
              </w:rPr>
              <w:t xml:space="preserve">  </w:t>
            </w:r>
            <w:r>
              <w:rPr>
                <w:rStyle w:val="184"/>
                <w:rFonts w:hint="eastAsia" w:ascii="Times New Roman" w:hAnsi="Times New Roman" w:eastAsia="仿宋_GB2312" w:cs="仿宋_GB2312"/>
                <w:b w:val="0"/>
                <w:bCs w:val="0"/>
                <w:strike w:val="0"/>
                <w:color w:val="auto"/>
                <w:sz w:val="21"/>
                <w:szCs w:val="21"/>
                <w:highlight w:val="none"/>
              </w:rPr>
              <w:t>市场主体的下列事项应当向登记机关办理备案：</w:t>
            </w:r>
          </w:p>
          <w:p w14:paraId="1C945868">
            <w:pPr>
              <w:keepNext w:val="0"/>
              <w:keepLines w:val="0"/>
              <w:pageBreakBefore w:val="0"/>
              <w:widowControl/>
              <w:spacing w:line="320" w:lineRule="exact"/>
              <w:ind w:firstLine="420"/>
              <w:rPr>
                <w:rStyle w:val="184"/>
                <w:rFonts w:hint="eastAsia" w:ascii="Times New Roman" w:hAnsi="Times New Roman" w:eastAsia="仿宋_GB2312" w:cs="仿宋_GB2312"/>
                <w:b w:val="0"/>
                <w:bCs w:val="0"/>
                <w:strike w:val="0"/>
                <w:color w:val="auto"/>
                <w:sz w:val="21"/>
                <w:szCs w:val="21"/>
                <w:highlight w:val="none"/>
              </w:rPr>
            </w:pPr>
            <w:r>
              <w:rPr>
                <w:rStyle w:val="184"/>
                <w:rFonts w:hint="eastAsia" w:ascii="Times New Roman" w:hAnsi="Times New Roman" w:eastAsia="仿宋_GB2312" w:cs="仿宋_GB2312"/>
                <w:b w:val="0"/>
                <w:bCs w:val="0"/>
                <w:strike w:val="0"/>
                <w:color w:val="auto"/>
                <w:sz w:val="21"/>
                <w:szCs w:val="21"/>
                <w:highlight w:val="none"/>
              </w:rPr>
              <w:t>（一）章程或者合伙协议；</w:t>
            </w:r>
          </w:p>
          <w:p w14:paraId="22043CA6">
            <w:pPr>
              <w:keepNext w:val="0"/>
              <w:keepLines w:val="0"/>
              <w:pageBreakBefore w:val="0"/>
              <w:widowControl/>
              <w:spacing w:line="320" w:lineRule="exact"/>
              <w:ind w:firstLine="420"/>
              <w:rPr>
                <w:rStyle w:val="184"/>
                <w:rFonts w:hint="eastAsia" w:ascii="Times New Roman" w:hAnsi="Times New Roman" w:eastAsia="仿宋_GB2312" w:cs="仿宋_GB2312"/>
                <w:b w:val="0"/>
                <w:bCs w:val="0"/>
                <w:strike w:val="0"/>
                <w:color w:val="auto"/>
                <w:sz w:val="21"/>
                <w:szCs w:val="21"/>
                <w:highlight w:val="none"/>
              </w:rPr>
            </w:pPr>
            <w:r>
              <w:rPr>
                <w:rStyle w:val="184"/>
                <w:rFonts w:hint="eastAsia" w:ascii="Times New Roman" w:hAnsi="Times New Roman" w:eastAsia="仿宋_GB2312" w:cs="仿宋_GB2312"/>
                <w:b w:val="0"/>
                <w:bCs w:val="0"/>
                <w:strike w:val="0"/>
                <w:color w:val="auto"/>
                <w:sz w:val="21"/>
                <w:szCs w:val="21"/>
                <w:highlight w:val="none"/>
              </w:rPr>
              <w:t>（二）经营期限或者合伙期限；</w:t>
            </w:r>
          </w:p>
          <w:p w14:paraId="52567FCA">
            <w:pPr>
              <w:keepNext w:val="0"/>
              <w:keepLines w:val="0"/>
              <w:pageBreakBefore w:val="0"/>
              <w:widowControl/>
              <w:spacing w:line="320" w:lineRule="exact"/>
              <w:ind w:firstLine="420"/>
              <w:rPr>
                <w:rStyle w:val="184"/>
                <w:rFonts w:hint="eastAsia" w:ascii="Times New Roman" w:hAnsi="Times New Roman" w:eastAsia="仿宋_GB2312" w:cs="仿宋_GB2312"/>
                <w:b w:val="0"/>
                <w:bCs w:val="0"/>
                <w:strike w:val="0"/>
                <w:color w:val="auto"/>
                <w:sz w:val="21"/>
                <w:szCs w:val="21"/>
                <w:highlight w:val="none"/>
              </w:rPr>
            </w:pPr>
            <w:r>
              <w:rPr>
                <w:rStyle w:val="184"/>
                <w:rFonts w:hint="eastAsia" w:ascii="Times New Roman" w:hAnsi="Times New Roman" w:eastAsia="仿宋_GB2312" w:cs="仿宋_GB2312"/>
                <w:b w:val="0"/>
                <w:bCs w:val="0"/>
                <w:strike w:val="0"/>
                <w:color w:val="auto"/>
                <w:sz w:val="21"/>
                <w:szCs w:val="21"/>
                <w:highlight w:val="none"/>
              </w:rPr>
              <w:t>（三）有限责任公司股东或者股份有限公司发起人认缴的出资数额，合伙企业合伙人认缴或者实际缴付的出资数额、缴付期限和出资方式；</w:t>
            </w:r>
          </w:p>
          <w:p w14:paraId="4D645018">
            <w:pPr>
              <w:keepNext w:val="0"/>
              <w:keepLines w:val="0"/>
              <w:pageBreakBefore w:val="0"/>
              <w:widowControl/>
              <w:spacing w:line="320" w:lineRule="exact"/>
              <w:ind w:firstLine="420"/>
              <w:rPr>
                <w:rStyle w:val="184"/>
                <w:rFonts w:hint="eastAsia" w:ascii="Times New Roman" w:hAnsi="Times New Roman" w:eastAsia="仿宋_GB2312" w:cs="仿宋_GB2312"/>
                <w:b w:val="0"/>
                <w:bCs w:val="0"/>
                <w:strike w:val="0"/>
                <w:color w:val="auto"/>
                <w:sz w:val="21"/>
                <w:szCs w:val="21"/>
                <w:highlight w:val="none"/>
              </w:rPr>
            </w:pPr>
            <w:r>
              <w:rPr>
                <w:rStyle w:val="184"/>
                <w:rFonts w:hint="eastAsia" w:ascii="Times New Roman" w:hAnsi="Times New Roman" w:eastAsia="仿宋_GB2312" w:cs="仿宋_GB2312"/>
                <w:b w:val="0"/>
                <w:bCs w:val="0"/>
                <w:strike w:val="0"/>
                <w:color w:val="auto"/>
                <w:sz w:val="21"/>
                <w:szCs w:val="21"/>
                <w:highlight w:val="none"/>
              </w:rPr>
              <w:t>（四）公司董事、监事、高级管理人员；</w:t>
            </w:r>
          </w:p>
          <w:p w14:paraId="14231B2A">
            <w:pPr>
              <w:keepNext w:val="0"/>
              <w:keepLines w:val="0"/>
              <w:pageBreakBefore w:val="0"/>
              <w:widowControl/>
              <w:spacing w:line="320" w:lineRule="exact"/>
              <w:ind w:firstLine="420"/>
              <w:rPr>
                <w:rStyle w:val="184"/>
                <w:rFonts w:hint="eastAsia" w:ascii="Times New Roman" w:hAnsi="Times New Roman" w:eastAsia="仿宋_GB2312" w:cs="仿宋_GB2312"/>
                <w:b w:val="0"/>
                <w:bCs w:val="0"/>
                <w:strike w:val="0"/>
                <w:color w:val="auto"/>
                <w:sz w:val="21"/>
                <w:szCs w:val="21"/>
                <w:highlight w:val="none"/>
              </w:rPr>
            </w:pPr>
            <w:r>
              <w:rPr>
                <w:rStyle w:val="184"/>
                <w:rFonts w:hint="eastAsia" w:ascii="Times New Roman" w:hAnsi="Times New Roman" w:eastAsia="仿宋_GB2312" w:cs="仿宋_GB2312"/>
                <w:b w:val="0"/>
                <w:bCs w:val="0"/>
                <w:strike w:val="0"/>
                <w:color w:val="auto"/>
                <w:sz w:val="21"/>
                <w:szCs w:val="21"/>
                <w:highlight w:val="none"/>
              </w:rPr>
              <w:t>（五）农民专业合作社（联合社）成员；</w:t>
            </w:r>
          </w:p>
          <w:p w14:paraId="456D2C9E">
            <w:pPr>
              <w:keepNext w:val="0"/>
              <w:keepLines w:val="0"/>
              <w:pageBreakBefore w:val="0"/>
              <w:widowControl/>
              <w:spacing w:line="320" w:lineRule="exact"/>
              <w:ind w:firstLine="420"/>
              <w:rPr>
                <w:rStyle w:val="184"/>
                <w:rFonts w:hint="eastAsia" w:ascii="Times New Roman" w:hAnsi="Times New Roman" w:eastAsia="仿宋_GB2312" w:cs="仿宋_GB2312"/>
                <w:b w:val="0"/>
                <w:bCs w:val="0"/>
                <w:strike w:val="0"/>
                <w:color w:val="auto"/>
                <w:sz w:val="21"/>
                <w:szCs w:val="21"/>
                <w:highlight w:val="none"/>
              </w:rPr>
            </w:pPr>
            <w:r>
              <w:rPr>
                <w:rStyle w:val="184"/>
                <w:rFonts w:hint="eastAsia" w:ascii="Times New Roman" w:hAnsi="Times New Roman" w:eastAsia="仿宋_GB2312" w:cs="仿宋_GB2312"/>
                <w:b w:val="0"/>
                <w:bCs w:val="0"/>
                <w:strike w:val="0"/>
                <w:color w:val="auto"/>
                <w:sz w:val="21"/>
                <w:szCs w:val="21"/>
                <w:highlight w:val="none"/>
              </w:rPr>
              <w:t>（六）参加经营的个体工商户家庭成员姓名；</w:t>
            </w:r>
          </w:p>
          <w:p w14:paraId="7BB0C08C">
            <w:pPr>
              <w:keepNext w:val="0"/>
              <w:keepLines w:val="0"/>
              <w:pageBreakBefore w:val="0"/>
              <w:widowControl/>
              <w:spacing w:line="320" w:lineRule="exact"/>
              <w:ind w:firstLine="420"/>
              <w:rPr>
                <w:rStyle w:val="184"/>
                <w:rFonts w:hint="eastAsia" w:ascii="Times New Roman" w:hAnsi="Times New Roman" w:eastAsia="仿宋_GB2312" w:cs="仿宋_GB2312"/>
                <w:b w:val="0"/>
                <w:bCs w:val="0"/>
                <w:strike w:val="0"/>
                <w:color w:val="auto"/>
                <w:sz w:val="21"/>
                <w:szCs w:val="21"/>
                <w:highlight w:val="none"/>
              </w:rPr>
            </w:pPr>
            <w:r>
              <w:rPr>
                <w:rStyle w:val="184"/>
                <w:rFonts w:hint="eastAsia" w:ascii="Times New Roman" w:hAnsi="Times New Roman" w:eastAsia="仿宋_GB2312" w:cs="仿宋_GB2312"/>
                <w:b w:val="0"/>
                <w:bCs w:val="0"/>
                <w:strike w:val="0"/>
                <w:color w:val="auto"/>
                <w:sz w:val="21"/>
                <w:szCs w:val="21"/>
                <w:highlight w:val="none"/>
              </w:rPr>
              <w:t>（七）市场主体登记联络员、外商投资企业法律文件送达接受人；</w:t>
            </w:r>
          </w:p>
          <w:p w14:paraId="2B0A0231">
            <w:pPr>
              <w:keepNext w:val="0"/>
              <w:keepLines w:val="0"/>
              <w:pageBreakBefore w:val="0"/>
              <w:widowControl/>
              <w:spacing w:line="320" w:lineRule="exact"/>
              <w:ind w:firstLine="420"/>
              <w:rPr>
                <w:rStyle w:val="184"/>
                <w:rFonts w:hint="eastAsia" w:ascii="Times New Roman" w:hAnsi="Times New Roman" w:eastAsia="仿宋_GB2312" w:cs="仿宋_GB2312"/>
                <w:b w:val="0"/>
                <w:bCs w:val="0"/>
                <w:strike w:val="0"/>
                <w:color w:val="auto"/>
                <w:sz w:val="21"/>
                <w:szCs w:val="21"/>
                <w:highlight w:val="none"/>
              </w:rPr>
            </w:pPr>
            <w:r>
              <w:rPr>
                <w:rStyle w:val="184"/>
                <w:rFonts w:hint="eastAsia" w:ascii="Times New Roman" w:hAnsi="Times New Roman" w:eastAsia="仿宋_GB2312" w:cs="仿宋_GB2312"/>
                <w:b w:val="0"/>
                <w:bCs w:val="0"/>
                <w:strike w:val="0"/>
                <w:color w:val="auto"/>
                <w:sz w:val="21"/>
                <w:szCs w:val="21"/>
                <w:highlight w:val="none"/>
              </w:rPr>
              <w:t>（八）公司、合伙企业等市场主体受益所有人相关信息；</w:t>
            </w:r>
          </w:p>
          <w:p w14:paraId="410BDE5F">
            <w:pPr>
              <w:keepNext w:val="0"/>
              <w:keepLines w:val="0"/>
              <w:pageBreakBefore w:val="0"/>
              <w:widowControl/>
              <w:spacing w:line="320" w:lineRule="exact"/>
              <w:ind w:firstLine="420"/>
              <w:rPr>
                <w:rStyle w:val="184"/>
                <w:rFonts w:hint="eastAsia" w:ascii="Times New Roman" w:hAnsi="Times New Roman" w:eastAsia="仿宋_GB2312" w:cs="仿宋_GB2312"/>
                <w:b w:val="0"/>
                <w:bCs w:val="0"/>
                <w:strike w:val="0"/>
                <w:color w:val="auto"/>
                <w:sz w:val="21"/>
                <w:szCs w:val="21"/>
                <w:highlight w:val="none"/>
              </w:rPr>
            </w:pPr>
            <w:r>
              <w:rPr>
                <w:rStyle w:val="184"/>
                <w:rFonts w:hint="eastAsia" w:ascii="Times New Roman" w:hAnsi="Times New Roman" w:eastAsia="仿宋_GB2312" w:cs="仿宋_GB2312"/>
                <w:b w:val="0"/>
                <w:bCs w:val="0"/>
                <w:strike w:val="0"/>
                <w:color w:val="auto"/>
                <w:sz w:val="21"/>
                <w:szCs w:val="21"/>
                <w:highlight w:val="none"/>
              </w:rPr>
              <w:t>（九）法律、行政法规规定的其他事项。</w:t>
            </w:r>
          </w:p>
          <w:p w14:paraId="4AB2D108">
            <w:pPr>
              <w:keepNext w:val="0"/>
              <w:keepLines w:val="0"/>
              <w:pageBreakBefore w:val="0"/>
              <w:widowControl/>
              <w:spacing w:line="320" w:lineRule="exact"/>
              <w:ind w:firstLine="420"/>
              <w:rPr>
                <w:rStyle w:val="184"/>
                <w:rFonts w:hint="eastAsia" w:ascii="Times New Roman" w:hAnsi="Times New Roman" w:eastAsia="仿宋_GB2312" w:cs="仿宋_GB2312"/>
                <w:b w:val="0"/>
                <w:bCs w:val="0"/>
                <w:strike w:val="0"/>
                <w:color w:val="auto"/>
                <w:sz w:val="21"/>
                <w:szCs w:val="21"/>
                <w:highlight w:val="none"/>
                <w:lang w:val="en-US" w:eastAsia="zh-CN"/>
              </w:rPr>
            </w:pPr>
            <w:r>
              <w:rPr>
                <w:rStyle w:val="184"/>
                <w:rFonts w:hint="eastAsia" w:ascii="Times New Roman" w:hAnsi="Times New Roman" w:eastAsia="仿宋_GB2312" w:cs="仿宋_GB2312"/>
                <w:b w:val="0"/>
                <w:bCs w:val="0"/>
                <w:strike w:val="0"/>
                <w:color w:val="auto"/>
                <w:sz w:val="21"/>
                <w:szCs w:val="21"/>
                <w:highlight w:val="none"/>
              </w:rPr>
              <w:t>第二十九条</w:t>
            </w:r>
            <w:r>
              <w:rPr>
                <w:rStyle w:val="184"/>
                <w:rFonts w:hint="eastAsia" w:eastAsia="仿宋_GB2312" w:cs="仿宋_GB2312"/>
                <w:b w:val="0"/>
                <w:bCs w:val="0"/>
                <w:strike w:val="0"/>
                <w:color w:val="auto"/>
                <w:sz w:val="21"/>
                <w:szCs w:val="21"/>
                <w:highlight w:val="none"/>
                <w:lang w:val="en-US" w:eastAsia="zh-CN"/>
              </w:rPr>
              <w:t xml:space="preserve">  </w:t>
            </w:r>
            <w:r>
              <w:rPr>
                <w:rStyle w:val="184"/>
                <w:rFonts w:hint="eastAsia" w:ascii="Times New Roman" w:hAnsi="Times New Roman" w:eastAsia="仿宋_GB2312" w:cs="仿宋_GB2312"/>
                <w:b w:val="0"/>
                <w:bCs w:val="0"/>
                <w:strike w:val="0"/>
                <w:color w:val="auto"/>
                <w:sz w:val="21"/>
                <w:szCs w:val="21"/>
                <w:highlight w:val="none"/>
              </w:rPr>
              <w:t>市场主体变更本条例第九条规定的备案事项的，应当自作出变更决议、决定或者法定变更事项发生之日起30日内向登记机关办理备案。农民专业合作社（联合社）成员发生变更的，应当自本会计年度终了之日起90日内向登记机关办理备案。</w:t>
            </w:r>
          </w:p>
          <w:p w14:paraId="6B5BA5D6">
            <w:pPr>
              <w:keepNext w:val="0"/>
              <w:keepLines w:val="0"/>
              <w:pageBreakBefore w:val="0"/>
              <w:widowControl/>
              <w:spacing w:line="320" w:lineRule="exact"/>
              <w:ind w:firstLine="420"/>
              <w:rPr>
                <w:rFonts w:hint="eastAsia" w:ascii="Times New Roman" w:hAnsi="Times New Roman" w:eastAsia="仿宋_GB2312" w:cs="仿宋_GB2312"/>
                <w:b/>
                <w:bCs/>
                <w:strike w:val="0"/>
                <w:color w:val="auto"/>
                <w:sz w:val="21"/>
                <w:szCs w:val="21"/>
                <w:highlight w:val="none"/>
                <w:lang w:val="en-US" w:eastAsia="zh-CN" w:bidi="ar-SA"/>
              </w:rPr>
            </w:pPr>
            <w:r>
              <w:rPr>
                <w:rStyle w:val="184"/>
                <w:rFonts w:hint="eastAsia" w:ascii="Times New Roman" w:hAnsi="Times New Roman" w:eastAsia="仿宋_GB2312" w:cs="仿宋_GB2312"/>
                <w:b w:val="0"/>
                <w:bCs w:val="0"/>
                <w:strike w:val="0"/>
                <w:color w:val="auto"/>
                <w:sz w:val="21"/>
                <w:szCs w:val="21"/>
                <w:highlight w:val="none"/>
              </w:rPr>
              <w:t>第四十七条</w:t>
            </w:r>
            <w:r>
              <w:rPr>
                <w:rStyle w:val="184"/>
                <w:rFonts w:hint="eastAsia" w:eastAsia="仿宋_GB2312" w:cs="仿宋_GB2312"/>
                <w:b w:val="0"/>
                <w:bCs w:val="0"/>
                <w:strike w:val="0"/>
                <w:color w:val="auto"/>
                <w:sz w:val="21"/>
                <w:szCs w:val="21"/>
                <w:highlight w:val="none"/>
                <w:lang w:val="en-US" w:eastAsia="zh-CN"/>
              </w:rPr>
              <w:t xml:space="preserve">  </w:t>
            </w:r>
            <w:r>
              <w:rPr>
                <w:rStyle w:val="184"/>
                <w:rFonts w:hint="eastAsia" w:ascii="Times New Roman" w:hAnsi="Times New Roman" w:eastAsia="仿宋_GB2312" w:cs="仿宋_GB2312"/>
                <w:b w:val="0"/>
                <w:bCs w:val="0"/>
                <w:strike w:val="0"/>
                <w:color w:val="auto"/>
                <w:sz w:val="21"/>
                <w:szCs w:val="21"/>
                <w:highlight w:val="none"/>
              </w:rPr>
              <w:t>市场主体未依照本条例办理备案的，由登记机关责令改正；拒不改正的，处5万元以下的罚款。</w:t>
            </w:r>
          </w:p>
        </w:tc>
      </w:tr>
      <w:tr w14:paraId="69A0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3" w:hRule="atLeast"/>
          <w:jc w:val="center"/>
        </w:trPr>
        <w:tc>
          <w:tcPr>
            <w:tcW w:w="307" w:type="pct"/>
            <w:noWrap w:val="0"/>
            <w:vAlign w:val="center"/>
          </w:tcPr>
          <w:p w14:paraId="042DB4F7">
            <w:pPr>
              <w:widowControl/>
              <w:spacing w:line="280" w:lineRule="exact"/>
              <w:jc w:val="center"/>
              <w:rPr>
                <w:rStyle w:val="184"/>
                <w:rFonts w:hint="default" w:ascii="Times New Roman" w:hAnsi="Times New Roman"/>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17</w:t>
            </w:r>
          </w:p>
        </w:tc>
        <w:tc>
          <w:tcPr>
            <w:tcW w:w="898" w:type="pct"/>
            <w:noWrap w:val="0"/>
            <w:vAlign w:val="center"/>
          </w:tcPr>
          <w:p w14:paraId="2ADE97B0">
            <w:pPr>
              <w:keepNext w:val="0"/>
              <w:keepLines w:val="0"/>
              <w:pageBreakBefore w:val="0"/>
              <w:widowControl/>
              <w:spacing w:line="280" w:lineRule="exact"/>
              <w:rPr>
                <w:rFonts w:hint="eastAsia" w:ascii="Times New Roman" w:hAnsi="Times New Roman" w:eastAsia="仿宋_GB2312" w:cs="仿宋_GB2312"/>
                <w:b w:val="0"/>
                <w:bCs w:val="0"/>
                <w:strike w:val="0"/>
                <w:color w:val="auto"/>
                <w:sz w:val="21"/>
                <w:szCs w:val="21"/>
                <w:highlight w:val="none"/>
                <w:lang w:val="en-US" w:eastAsia="zh-CN" w:bidi="ar-SA"/>
              </w:rPr>
            </w:pPr>
            <w:r>
              <w:rPr>
                <w:rStyle w:val="184"/>
                <w:rFonts w:hint="eastAsia" w:ascii="Times New Roman" w:hAnsi="Times New Roman" w:eastAsia="仿宋_GB2312" w:cs="仿宋_GB2312"/>
                <w:b w:val="0"/>
                <w:bCs w:val="0"/>
                <w:strike w:val="0"/>
                <w:color w:val="auto"/>
                <w:sz w:val="21"/>
                <w:szCs w:val="21"/>
                <w:highlight w:val="none"/>
                <w:lang w:val="en-US" w:eastAsia="zh-CN"/>
              </w:rPr>
              <w:t>市场主体</w:t>
            </w:r>
            <w:r>
              <w:rPr>
                <w:rStyle w:val="184"/>
                <w:rFonts w:hint="eastAsia" w:ascii="Times New Roman" w:hAnsi="Times New Roman" w:eastAsia="仿宋_GB2312" w:cs="仿宋_GB2312"/>
                <w:b w:val="0"/>
                <w:bCs w:val="0"/>
                <w:strike w:val="0"/>
                <w:color w:val="auto"/>
                <w:sz w:val="21"/>
                <w:szCs w:val="21"/>
                <w:highlight w:val="none"/>
              </w:rPr>
              <w:t>未</w:t>
            </w:r>
            <w:r>
              <w:rPr>
                <w:rStyle w:val="184"/>
                <w:rFonts w:hint="eastAsia" w:ascii="Times New Roman" w:hAnsi="Times New Roman" w:eastAsia="仿宋_GB2312" w:cs="仿宋_GB2312"/>
                <w:b w:val="0"/>
                <w:bCs w:val="0"/>
                <w:strike w:val="0"/>
                <w:color w:val="auto"/>
                <w:sz w:val="21"/>
                <w:szCs w:val="21"/>
                <w:highlight w:val="none"/>
                <w:lang w:eastAsia="zh-CN"/>
              </w:rPr>
              <w:t>依照规定</w:t>
            </w:r>
            <w:r>
              <w:rPr>
                <w:rStyle w:val="184"/>
                <w:rFonts w:hint="eastAsia" w:ascii="Times New Roman" w:hAnsi="Times New Roman" w:eastAsia="仿宋_GB2312" w:cs="仿宋_GB2312"/>
                <w:b w:val="0"/>
                <w:bCs w:val="0"/>
                <w:strike w:val="0"/>
                <w:color w:val="auto"/>
                <w:sz w:val="21"/>
                <w:szCs w:val="21"/>
                <w:highlight w:val="none"/>
              </w:rPr>
              <w:t>办理变更登记的</w:t>
            </w:r>
          </w:p>
        </w:tc>
        <w:tc>
          <w:tcPr>
            <w:tcW w:w="789" w:type="pct"/>
            <w:noWrap w:val="0"/>
            <w:vAlign w:val="center"/>
          </w:tcPr>
          <w:p w14:paraId="7149F9F5">
            <w:pPr>
              <w:keepNext w:val="0"/>
              <w:keepLines w:val="0"/>
              <w:pageBreakBefore w:val="0"/>
              <w:widowControl/>
              <w:spacing w:line="300" w:lineRule="exac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60FF11EB">
            <w:pPr>
              <w:keepNext w:val="0"/>
              <w:keepLines w:val="0"/>
              <w:pageBreakBefore w:val="0"/>
              <w:widowControl/>
              <w:spacing w:line="300" w:lineRule="exact"/>
              <w:rPr>
                <w:rStyle w:val="184"/>
                <w:rFonts w:hint="eastAsia" w:ascii="Times New Roman" w:hAnsi="Times New Roman" w:eastAsia="仿宋_GB2312" w:cs="仿宋_GB2312"/>
                <w:b w:val="0"/>
                <w:bCs w:val="0"/>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《中华人民共和国市场主体登记管理条例》</w:t>
            </w:r>
            <w:r>
              <w:rPr>
                <w:rStyle w:val="184"/>
                <w:rFonts w:hint="eastAsia" w:ascii="Times New Roman" w:hAnsi="Times New Roman" w:eastAsia="仿宋_GB2312" w:cs="仿宋_GB2312"/>
                <w:b w:val="0"/>
                <w:bCs w:val="0"/>
                <w:strike w:val="0"/>
                <w:color w:val="auto"/>
                <w:sz w:val="21"/>
                <w:szCs w:val="21"/>
                <w:highlight w:val="none"/>
              </w:rPr>
              <w:t>第二十四条　市场主体变更登记事项，应当自作出变更决议、决定或者法定变更事项发生之日起30日内向登记机关申请变更登记。市场主体变更登记事项属于依法须经批准的，申请人应当在批准文件有效期内向登记机关申请变更登记。第二十五条</w:t>
            </w:r>
            <w:r>
              <w:rPr>
                <w:rStyle w:val="184"/>
                <w:rFonts w:hint="eastAsia" w:eastAsia="仿宋_GB2312" w:cs="仿宋_GB2312"/>
                <w:b w:val="0"/>
                <w:bCs w:val="0"/>
                <w:strike w:val="0"/>
                <w:color w:val="auto"/>
                <w:sz w:val="21"/>
                <w:szCs w:val="21"/>
                <w:highlight w:val="none"/>
                <w:lang w:val="en-US" w:eastAsia="zh-CN"/>
              </w:rPr>
              <w:t xml:space="preserve">  </w:t>
            </w:r>
            <w:r>
              <w:rPr>
                <w:rStyle w:val="184"/>
                <w:rFonts w:hint="eastAsia" w:ascii="Times New Roman" w:hAnsi="Times New Roman" w:eastAsia="仿宋_GB2312" w:cs="仿宋_GB2312"/>
                <w:b w:val="0"/>
                <w:bCs w:val="0"/>
                <w:strike w:val="0"/>
                <w:color w:val="auto"/>
                <w:sz w:val="21"/>
                <w:szCs w:val="21"/>
                <w:highlight w:val="none"/>
              </w:rPr>
              <w:t>公司、非公司企业法人的法定代表人在任职期间发生本条例第十二条所列情形之一的，应当向登记机关申请变更登记。第二十六条</w:t>
            </w:r>
            <w:r>
              <w:rPr>
                <w:rStyle w:val="184"/>
                <w:rFonts w:hint="eastAsia" w:eastAsia="仿宋_GB2312" w:cs="仿宋_GB2312"/>
                <w:b w:val="0"/>
                <w:bCs w:val="0"/>
                <w:strike w:val="0"/>
                <w:color w:val="auto"/>
                <w:sz w:val="21"/>
                <w:szCs w:val="21"/>
                <w:highlight w:val="none"/>
                <w:lang w:val="en-US" w:eastAsia="zh-CN"/>
              </w:rPr>
              <w:t xml:space="preserve">  </w:t>
            </w:r>
            <w:r>
              <w:rPr>
                <w:rStyle w:val="184"/>
                <w:rFonts w:hint="eastAsia" w:ascii="Times New Roman" w:hAnsi="Times New Roman" w:eastAsia="仿宋_GB2312" w:cs="仿宋_GB2312"/>
                <w:b w:val="0"/>
                <w:bCs w:val="0"/>
                <w:strike w:val="0"/>
                <w:color w:val="auto"/>
                <w:sz w:val="21"/>
                <w:szCs w:val="21"/>
                <w:highlight w:val="none"/>
              </w:rPr>
              <w:t>市场主体变更经营范围，属于依法须经批准的项目的，应当自批准之日起30日内申请变更登记。许可证或者批准文件被吊销、撤销或者有效期届满的，应当自许可证或者批准文件被吊销、撤销或者有效期届满之日起30日内向登记机关申请变更登记或者办理注销登记。第二十七条</w:t>
            </w:r>
            <w:r>
              <w:rPr>
                <w:rStyle w:val="184"/>
                <w:rFonts w:hint="eastAsia" w:eastAsia="仿宋_GB2312" w:cs="仿宋_GB2312"/>
                <w:b w:val="0"/>
                <w:bCs w:val="0"/>
                <w:strike w:val="0"/>
                <w:color w:val="auto"/>
                <w:sz w:val="21"/>
                <w:szCs w:val="21"/>
                <w:highlight w:val="none"/>
                <w:lang w:val="en-US" w:eastAsia="zh-CN"/>
              </w:rPr>
              <w:t xml:space="preserve">  </w:t>
            </w:r>
            <w:r>
              <w:rPr>
                <w:rStyle w:val="184"/>
                <w:rFonts w:hint="eastAsia" w:ascii="Times New Roman" w:hAnsi="Times New Roman" w:eastAsia="仿宋_GB2312" w:cs="仿宋_GB2312"/>
                <w:b w:val="0"/>
                <w:bCs w:val="0"/>
                <w:strike w:val="0"/>
                <w:color w:val="auto"/>
                <w:sz w:val="21"/>
                <w:szCs w:val="21"/>
                <w:highlight w:val="none"/>
              </w:rPr>
              <w:t>市场主体变更住所或者主要经营场所跨登记机关辖区的，应当在迁入新的住所或者主要经营场所前，向迁入地登记机关申请变更登记。迁出地登记机关无正当理由不得拒绝移交市场主体档案等相关材料。</w:t>
            </w:r>
          </w:p>
          <w:p w14:paraId="3C96676B">
            <w:pPr>
              <w:keepNext w:val="0"/>
              <w:keepLines w:val="0"/>
              <w:pageBreakBefore w:val="0"/>
              <w:widowControl/>
              <w:spacing w:line="300" w:lineRule="exact"/>
              <w:rPr>
                <w:rStyle w:val="184"/>
                <w:rFonts w:hint="eastAsia" w:ascii="Times New Roman" w:hAnsi="Times New Roman" w:eastAsia="仿宋_GB2312" w:cs="仿宋_GB2312"/>
                <w:b w:val="0"/>
                <w:bCs w:val="0"/>
                <w:strike w:val="0"/>
                <w:color w:val="auto"/>
                <w:sz w:val="21"/>
                <w:szCs w:val="21"/>
                <w:highlight w:val="none"/>
              </w:rPr>
            </w:pPr>
            <w:r>
              <w:rPr>
                <w:rStyle w:val="184"/>
                <w:rFonts w:hint="eastAsia" w:ascii="Times New Roman" w:hAnsi="Times New Roman" w:eastAsia="仿宋_GB2312" w:cs="仿宋_GB2312"/>
                <w:b w:val="0"/>
                <w:bCs w:val="0"/>
                <w:strike w:val="0"/>
                <w:color w:val="auto"/>
                <w:sz w:val="21"/>
                <w:szCs w:val="21"/>
                <w:highlight w:val="none"/>
              </w:rPr>
              <w:t>第四十六条</w:t>
            </w:r>
            <w:r>
              <w:rPr>
                <w:rStyle w:val="184"/>
                <w:rFonts w:hint="eastAsia" w:eastAsia="仿宋_GB2312" w:cs="仿宋_GB2312"/>
                <w:b w:val="0"/>
                <w:bCs w:val="0"/>
                <w:strike w:val="0"/>
                <w:color w:val="auto"/>
                <w:sz w:val="21"/>
                <w:szCs w:val="21"/>
                <w:highlight w:val="none"/>
                <w:lang w:val="en-US" w:eastAsia="zh-CN"/>
              </w:rPr>
              <w:t xml:space="preserve">  </w:t>
            </w:r>
            <w:r>
              <w:rPr>
                <w:rStyle w:val="184"/>
                <w:rFonts w:hint="eastAsia" w:ascii="Times New Roman" w:hAnsi="Times New Roman" w:eastAsia="仿宋_GB2312" w:cs="仿宋_GB2312"/>
                <w:b w:val="0"/>
                <w:bCs w:val="0"/>
                <w:strike w:val="0"/>
                <w:color w:val="auto"/>
                <w:sz w:val="21"/>
                <w:szCs w:val="21"/>
                <w:highlight w:val="none"/>
              </w:rPr>
              <w:t>市场主体未依照本条例办理变更登记的，由登记机关责令改正；拒不改正的，处1万元以上10万元以下的罚款；情节严重的，吊销营业执照。</w:t>
            </w:r>
          </w:p>
          <w:p w14:paraId="361A304D">
            <w:pPr>
              <w:keepNext w:val="0"/>
              <w:keepLines w:val="0"/>
              <w:pageBreakBefore w:val="0"/>
              <w:widowControl/>
              <w:spacing w:line="300" w:lineRule="exact"/>
              <w:rPr>
                <w:rStyle w:val="184"/>
                <w:rFonts w:hint="eastAsia" w:ascii="Times New Roman" w:hAnsi="Times New Roman" w:eastAsia="仿宋_GB2312" w:cs="仿宋_GB2312"/>
                <w:b w:val="0"/>
                <w:bCs w:val="0"/>
                <w:strike w:val="0"/>
                <w:color w:val="auto"/>
                <w:sz w:val="21"/>
                <w:szCs w:val="21"/>
                <w:highlight w:val="none"/>
              </w:rPr>
            </w:pPr>
            <w:r>
              <w:rPr>
                <w:rStyle w:val="184"/>
                <w:rFonts w:hint="eastAsia" w:ascii="Times New Roman" w:hAnsi="Times New Roman" w:eastAsia="仿宋_GB2312" w:cs="仿宋_GB2312"/>
                <w:b/>
                <w:bCs/>
                <w:strike w:val="0"/>
                <w:color w:val="auto"/>
                <w:sz w:val="21"/>
                <w:szCs w:val="21"/>
                <w:highlight w:val="none"/>
              </w:rPr>
              <w:t>《中华人民共和国公司法》</w:t>
            </w:r>
            <w:r>
              <w:rPr>
                <w:rStyle w:val="184"/>
                <w:rFonts w:hint="eastAsia" w:ascii="Times New Roman" w:hAnsi="Times New Roman" w:eastAsia="仿宋_GB2312" w:cs="仿宋_GB2312"/>
                <w:b w:val="0"/>
                <w:bCs w:val="0"/>
                <w:strike w:val="0"/>
                <w:color w:val="auto"/>
                <w:sz w:val="21"/>
                <w:szCs w:val="21"/>
                <w:highlight w:val="none"/>
              </w:rPr>
              <w:t xml:space="preserve">第七条第三款 </w:t>
            </w:r>
            <w:r>
              <w:rPr>
                <w:rStyle w:val="184"/>
                <w:rFonts w:hint="eastAsia" w:eastAsia="仿宋_GB2312" w:cs="仿宋_GB2312"/>
                <w:b w:val="0"/>
                <w:bCs w:val="0"/>
                <w:strike w:val="0"/>
                <w:color w:val="auto"/>
                <w:sz w:val="21"/>
                <w:szCs w:val="21"/>
                <w:highlight w:val="none"/>
                <w:lang w:val="en-US" w:eastAsia="zh-CN"/>
              </w:rPr>
              <w:t xml:space="preserve"> </w:t>
            </w:r>
            <w:r>
              <w:rPr>
                <w:rStyle w:val="184"/>
                <w:rFonts w:hint="eastAsia" w:ascii="Times New Roman" w:hAnsi="Times New Roman" w:eastAsia="仿宋_GB2312" w:cs="仿宋_GB2312"/>
                <w:b w:val="0"/>
                <w:bCs w:val="0"/>
                <w:strike w:val="0"/>
                <w:color w:val="auto"/>
                <w:sz w:val="21"/>
                <w:szCs w:val="21"/>
                <w:highlight w:val="none"/>
              </w:rPr>
              <w:t>公司营业执照记载的事项发生变更的，公司应当依法办理变更事项，由公司登记机关换发营业执照。第二百一十一条第二款 公司登记事项发生变更时</w:t>
            </w:r>
            <w:r>
              <w:rPr>
                <w:rStyle w:val="184"/>
                <w:rFonts w:hint="eastAsia" w:eastAsia="仿宋_GB2312" w:cs="仿宋_GB2312"/>
                <w:b w:val="0"/>
                <w:bCs w:val="0"/>
                <w:strike w:val="0"/>
                <w:color w:val="auto"/>
                <w:sz w:val="21"/>
                <w:szCs w:val="21"/>
                <w:highlight w:val="none"/>
                <w:lang w:eastAsia="zh-CN"/>
              </w:rPr>
              <w:t>，</w:t>
            </w:r>
            <w:r>
              <w:rPr>
                <w:rStyle w:val="184"/>
                <w:rFonts w:hint="eastAsia" w:ascii="Times New Roman" w:hAnsi="Times New Roman" w:eastAsia="仿宋_GB2312" w:cs="仿宋_GB2312"/>
                <w:b w:val="0"/>
                <w:bCs w:val="0"/>
                <w:strike w:val="0"/>
                <w:color w:val="auto"/>
                <w:sz w:val="21"/>
                <w:szCs w:val="21"/>
                <w:highlight w:val="none"/>
              </w:rPr>
              <w:t>未依照本法规定办理有关变更登记的</w:t>
            </w:r>
            <w:r>
              <w:rPr>
                <w:rStyle w:val="184"/>
                <w:rFonts w:hint="eastAsia" w:eastAsia="仿宋_GB2312" w:cs="仿宋_GB2312"/>
                <w:b w:val="0"/>
                <w:bCs w:val="0"/>
                <w:strike w:val="0"/>
                <w:color w:val="auto"/>
                <w:sz w:val="21"/>
                <w:szCs w:val="21"/>
                <w:highlight w:val="none"/>
                <w:lang w:eastAsia="zh-CN"/>
              </w:rPr>
              <w:t>，</w:t>
            </w:r>
            <w:r>
              <w:rPr>
                <w:rStyle w:val="184"/>
                <w:rFonts w:hint="eastAsia" w:ascii="Times New Roman" w:hAnsi="Times New Roman" w:eastAsia="仿宋_GB2312" w:cs="仿宋_GB2312"/>
                <w:b w:val="0"/>
                <w:bCs w:val="0"/>
                <w:strike w:val="0"/>
                <w:color w:val="auto"/>
                <w:sz w:val="21"/>
                <w:szCs w:val="21"/>
                <w:highlight w:val="none"/>
              </w:rPr>
              <w:t>由公司登记机关责令限期登记</w:t>
            </w:r>
            <w:r>
              <w:rPr>
                <w:rStyle w:val="184"/>
                <w:rFonts w:hint="eastAsia" w:eastAsia="仿宋_GB2312" w:cs="仿宋_GB2312"/>
                <w:b w:val="0"/>
                <w:bCs w:val="0"/>
                <w:strike w:val="0"/>
                <w:color w:val="auto"/>
                <w:sz w:val="21"/>
                <w:szCs w:val="21"/>
                <w:highlight w:val="none"/>
                <w:lang w:eastAsia="zh-CN"/>
              </w:rPr>
              <w:t>；</w:t>
            </w:r>
            <w:r>
              <w:rPr>
                <w:rStyle w:val="184"/>
                <w:rFonts w:hint="eastAsia" w:ascii="Times New Roman" w:hAnsi="Times New Roman" w:eastAsia="仿宋_GB2312" w:cs="仿宋_GB2312"/>
                <w:b w:val="0"/>
                <w:bCs w:val="0"/>
                <w:strike w:val="0"/>
                <w:color w:val="auto"/>
                <w:sz w:val="21"/>
                <w:szCs w:val="21"/>
                <w:highlight w:val="none"/>
              </w:rPr>
              <w:t>逾期不登记的</w:t>
            </w:r>
            <w:r>
              <w:rPr>
                <w:rStyle w:val="184"/>
                <w:rFonts w:hint="eastAsia" w:eastAsia="仿宋_GB2312" w:cs="仿宋_GB2312"/>
                <w:b w:val="0"/>
                <w:bCs w:val="0"/>
                <w:strike w:val="0"/>
                <w:color w:val="auto"/>
                <w:sz w:val="21"/>
                <w:szCs w:val="21"/>
                <w:highlight w:val="none"/>
                <w:lang w:eastAsia="zh-CN"/>
              </w:rPr>
              <w:t>，</w:t>
            </w:r>
            <w:r>
              <w:rPr>
                <w:rStyle w:val="184"/>
                <w:rFonts w:hint="eastAsia" w:ascii="Times New Roman" w:hAnsi="Times New Roman" w:eastAsia="仿宋_GB2312" w:cs="仿宋_GB2312"/>
                <w:b w:val="0"/>
                <w:bCs w:val="0"/>
                <w:strike w:val="0"/>
                <w:color w:val="auto"/>
                <w:sz w:val="21"/>
                <w:szCs w:val="21"/>
                <w:highlight w:val="none"/>
              </w:rPr>
              <w:t>处以一万元以上十万元以下的罚款。</w:t>
            </w:r>
          </w:p>
          <w:p w14:paraId="0726A1DD">
            <w:pPr>
              <w:keepNext w:val="0"/>
              <w:keepLines w:val="0"/>
              <w:pageBreakBefore w:val="0"/>
              <w:widowControl/>
              <w:spacing w:line="300" w:lineRule="exact"/>
              <w:rPr>
                <w:rStyle w:val="184"/>
                <w:rFonts w:hint="eastAsia" w:ascii="Times New Roman" w:hAnsi="Times New Roman" w:eastAsia="仿宋_GB2312" w:cs="仿宋_GB2312"/>
                <w:b w:val="0"/>
                <w:bCs w:val="0"/>
                <w:strike w:val="0"/>
                <w:color w:val="auto"/>
                <w:sz w:val="21"/>
                <w:szCs w:val="21"/>
                <w:highlight w:val="none"/>
              </w:rPr>
            </w:pPr>
            <w:r>
              <w:rPr>
                <w:rStyle w:val="184"/>
                <w:rFonts w:hint="eastAsia" w:ascii="Times New Roman" w:hAnsi="Times New Roman" w:eastAsia="仿宋_GB2312" w:cs="仿宋_GB2312"/>
                <w:b/>
                <w:bCs/>
                <w:strike w:val="0"/>
                <w:color w:val="auto"/>
                <w:sz w:val="21"/>
                <w:szCs w:val="21"/>
                <w:highlight w:val="none"/>
              </w:rPr>
              <w:t>《中华人民共和国合伙企业法》</w:t>
            </w:r>
            <w:r>
              <w:rPr>
                <w:rStyle w:val="184"/>
                <w:rFonts w:hint="eastAsia" w:ascii="Times New Roman" w:hAnsi="Times New Roman" w:eastAsia="仿宋_GB2312" w:cs="仿宋_GB2312"/>
                <w:b w:val="0"/>
                <w:bCs w:val="0"/>
                <w:strike w:val="0"/>
                <w:color w:val="auto"/>
                <w:sz w:val="21"/>
                <w:szCs w:val="21"/>
                <w:highlight w:val="none"/>
              </w:rPr>
              <w:t xml:space="preserve">第十三条 </w:t>
            </w:r>
            <w:r>
              <w:rPr>
                <w:rStyle w:val="184"/>
                <w:rFonts w:hint="eastAsia" w:eastAsia="仿宋_GB2312" w:cs="仿宋_GB2312"/>
                <w:b w:val="0"/>
                <w:bCs w:val="0"/>
                <w:strike w:val="0"/>
                <w:color w:val="auto"/>
                <w:sz w:val="21"/>
                <w:szCs w:val="21"/>
                <w:highlight w:val="none"/>
                <w:lang w:val="en-US" w:eastAsia="zh-CN"/>
              </w:rPr>
              <w:t xml:space="preserve"> </w:t>
            </w:r>
            <w:r>
              <w:rPr>
                <w:rStyle w:val="184"/>
                <w:rFonts w:hint="eastAsia" w:ascii="Times New Roman" w:hAnsi="Times New Roman" w:eastAsia="仿宋_GB2312" w:cs="仿宋_GB2312"/>
                <w:b w:val="0"/>
                <w:bCs w:val="0"/>
                <w:strike w:val="0"/>
                <w:color w:val="auto"/>
                <w:sz w:val="21"/>
                <w:szCs w:val="21"/>
                <w:highlight w:val="none"/>
              </w:rPr>
              <w:t>合伙企业登记事项发生变更的，执行合伙事务的合伙人应当自作出变更决定或者发生变更事由之日起十五日内，向企业登记机关申请办理变更登记。第九十五条第二款 合伙企业登记事项发生变更时，未依照本法规定办理变更登记的，由企业登记机关责令限期登记；逾期不登记的，处以二千元以上二万元以下的罚款。</w:t>
            </w:r>
          </w:p>
          <w:p w14:paraId="4F2120E0">
            <w:pPr>
              <w:keepNext w:val="0"/>
              <w:keepLines w:val="0"/>
              <w:pageBreakBefore w:val="0"/>
              <w:widowControl/>
              <w:spacing w:line="300" w:lineRule="exact"/>
              <w:rPr>
                <w:rFonts w:hint="eastAsia" w:ascii="Times New Roman" w:hAnsi="Times New Roman" w:eastAsia="仿宋_GB2312" w:cs="仿宋_GB2312"/>
                <w:strike w:val="0"/>
                <w:color w:val="auto"/>
                <w:sz w:val="21"/>
                <w:szCs w:val="21"/>
                <w:highlight w:val="none"/>
                <w:lang w:val="en-US" w:eastAsia="zh-CN" w:bidi="ar-SA"/>
              </w:rPr>
            </w:pPr>
            <w:r>
              <w:rPr>
                <w:rStyle w:val="184"/>
                <w:rFonts w:hint="eastAsia" w:ascii="Times New Roman" w:hAnsi="Times New Roman" w:eastAsia="仿宋_GB2312" w:cs="仿宋_GB2312"/>
                <w:b/>
                <w:bCs/>
                <w:strike w:val="0"/>
                <w:color w:val="auto"/>
                <w:sz w:val="21"/>
                <w:szCs w:val="21"/>
                <w:highlight w:val="none"/>
              </w:rPr>
              <w:t>《中华人民共和国个人独资企业法》</w:t>
            </w:r>
            <w:r>
              <w:rPr>
                <w:rStyle w:val="184"/>
                <w:rFonts w:hint="eastAsia" w:ascii="Times New Roman" w:hAnsi="Times New Roman" w:eastAsia="仿宋_GB2312" w:cs="仿宋_GB2312"/>
                <w:b w:val="0"/>
                <w:bCs w:val="0"/>
                <w:strike w:val="0"/>
                <w:color w:val="auto"/>
                <w:sz w:val="21"/>
                <w:szCs w:val="21"/>
                <w:highlight w:val="none"/>
              </w:rPr>
              <w:t xml:space="preserve">第十五条 </w:t>
            </w:r>
            <w:r>
              <w:rPr>
                <w:rStyle w:val="184"/>
                <w:rFonts w:hint="eastAsia" w:eastAsia="仿宋_GB2312" w:cs="仿宋_GB2312"/>
                <w:b w:val="0"/>
                <w:bCs w:val="0"/>
                <w:strike w:val="0"/>
                <w:color w:val="auto"/>
                <w:sz w:val="21"/>
                <w:szCs w:val="21"/>
                <w:highlight w:val="none"/>
                <w:lang w:val="en-US" w:eastAsia="zh-CN"/>
              </w:rPr>
              <w:t xml:space="preserve"> </w:t>
            </w:r>
            <w:r>
              <w:rPr>
                <w:rStyle w:val="184"/>
                <w:rFonts w:hint="eastAsia" w:ascii="Times New Roman" w:hAnsi="Times New Roman" w:eastAsia="仿宋_GB2312" w:cs="仿宋_GB2312"/>
                <w:b w:val="0"/>
                <w:bCs w:val="0"/>
                <w:strike w:val="0"/>
                <w:color w:val="auto"/>
                <w:sz w:val="21"/>
                <w:szCs w:val="21"/>
                <w:highlight w:val="none"/>
              </w:rPr>
              <w:t>个人独资企业存续期间登记事项发生变更的，应当在作出变更决定之日起的十五日内向依法登记机关申请办理变更登记。第三十七条第二款 个人独资企业登记事项发生变更时</w:t>
            </w:r>
            <w:r>
              <w:rPr>
                <w:rStyle w:val="184"/>
                <w:rFonts w:hint="eastAsia" w:eastAsia="仿宋_GB2312" w:cs="仿宋_GB2312"/>
                <w:b w:val="0"/>
                <w:bCs w:val="0"/>
                <w:strike w:val="0"/>
                <w:color w:val="auto"/>
                <w:sz w:val="21"/>
                <w:szCs w:val="21"/>
                <w:highlight w:val="none"/>
                <w:lang w:eastAsia="zh-CN"/>
              </w:rPr>
              <w:t>，</w:t>
            </w:r>
            <w:r>
              <w:rPr>
                <w:rStyle w:val="184"/>
                <w:rFonts w:hint="eastAsia" w:ascii="Times New Roman" w:hAnsi="Times New Roman" w:eastAsia="仿宋_GB2312" w:cs="仿宋_GB2312"/>
                <w:b w:val="0"/>
                <w:bCs w:val="0"/>
                <w:strike w:val="0"/>
                <w:color w:val="auto"/>
                <w:sz w:val="21"/>
                <w:szCs w:val="21"/>
                <w:highlight w:val="none"/>
              </w:rPr>
              <w:t>未按本法规定办理有关变更登记的</w:t>
            </w:r>
            <w:r>
              <w:rPr>
                <w:rStyle w:val="184"/>
                <w:rFonts w:hint="eastAsia" w:eastAsia="仿宋_GB2312" w:cs="仿宋_GB2312"/>
                <w:b w:val="0"/>
                <w:bCs w:val="0"/>
                <w:strike w:val="0"/>
                <w:color w:val="auto"/>
                <w:sz w:val="21"/>
                <w:szCs w:val="21"/>
                <w:highlight w:val="none"/>
                <w:lang w:eastAsia="zh-CN"/>
              </w:rPr>
              <w:t>，</w:t>
            </w:r>
            <w:r>
              <w:rPr>
                <w:rStyle w:val="184"/>
                <w:rFonts w:hint="eastAsia" w:ascii="Times New Roman" w:hAnsi="Times New Roman" w:eastAsia="仿宋_GB2312" w:cs="仿宋_GB2312"/>
                <w:b w:val="0"/>
                <w:bCs w:val="0"/>
                <w:strike w:val="0"/>
                <w:color w:val="auto"/>
                <w:sz w:val="21"/>
                <w:szCs w:val="21"/>
                <w:highlight w:val="none"/>
              </w:rPr>
              <w:t>责令限期办理变更登记</w:t>
            </w:r>
            <w:r>
              <w:rPr>
                <w:rStyle w:val="184"/>
                <w:rFonts w:hint="eastAsia" w:eastAsia="仿宋_GB2312" w:cs="仿宋_GB2312"/>
                <w:b w:val="0"/>
                <w:bCs w:val="0"/>
                <w:strike w:val="0"/>
                <w:color w:val="auto"/>
                <w:sz w:val="21"/>
                <w:szCs w:val="21"/>
                <w:highlight w:val="none"/>
                <w:lang w:eastAsia="zh-CN"/>
              </w:rPr>
              <w:t>；</w:t>
            </w:r>
            <w:r>
              <w:rPr>
                <w:rStyle w:val="184"/>
                <w:rFonts w:hint="eastAsia" w:ascii="Times New Roman" w:hAnsi="Times New Roman" w:eastAsia="仿宋_GB2312" w:cs="仿宋_GB2312"/>
                <w:b w:val="0"/>
                <w:bCs w:val="0"/>
                <w:strike w:val="0"/>
                <w:color w:val="auto"/>
                <w:sz w:val="21"/>
                <w:szCs w:val="21"/>
                <w:highlight w:val="none"/>
              </w:rPr>
              <w:t>逾期不办理的</w:t>
            </w:r>
            <w:r>
              <w:rPr>
                <w:rStyle w:val="184"/>
                <w:rFonts w:hint="eastAsia" w:eastAsia="仿宋_GB2312" w:cs="仿宋_GB2312"/>
                <w:b w:val="0"/>
                <w:bCs w:val="0"/>
                <w:strike w:val="0"/>
                <w:color w:val="auto"/>
                <w:sz w:val="21"/>
                <w:szCs w:val="21"/>
                <w:highlight w:val="none"/>
                <w:lang w:eastAsia="zh-CN"/>
              </w:rPr>
              <w:t>，</w:t>
            </w:r>
            <w:r>
              <w:rPr>
                <w:rStyle w:val="184"/>
                <w:rFonts w:hint="eastAsia" w:ascii="Times New Roman" w:hAnsi="Times New Roman" w:eastAsia="仿宋_GB2312" w:cs="仿宋_GB2312"/>
                <w:b w:val="0"/>
                <w:bCs w:val="0"/>
                <w:strike w:val="0"/>
                <w:color w:val="auto"/>
                <w:sz w:val="21"/>
                <w:szCs w:val="21"/>
                <w:highlight w:val="none"/>
              </w:rPr>
              <w:t>处以二千元以下的罚款。</w:t>
            </w:r>
          </w:p>
        </w:tc>
      </w:tr>
      <w:tr w14:paraId="02D0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307" w:type="pct"/>
            <w:noWrap w:val="0"/>
            <w:vAlign w:val="center"/>
          </w:tcPr>
          <w:p w14:paraId="458EF338">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18</w:t>
            </w:r>
          </w:p>
        </w:tc>
        <w:tc>
          <w:tcPr>
            <w:tcW w:w="898" w:type="pct"/>
            <w:noWrap w:val="0"/>
            <w:vAlign w:val="center"/>
          </w:tcPr>
          <w:p w14:paraId="7D7E63F0">
            <w:pPr>
              <w:keepNext w:val="0"/>
              <w:keepLines w:val="0"/>
              <w:pageBreakBefore w:val="0"/>
              <w:widowControl/>
              <w:spacing w:line="280" w:lineRule="exact"/>
              <w:rPr>
                <w:rStyle w:val="184"/>
                <w:rFonts w:hint="eastAsia" w:ascii="Times New Roman" w:hAnsi="Times New Roman" w:eastAsia="仿宋_GB2312" w:cs="仿宋_GB2312"/>
                <w:strike w:val="0"/>
                <w:color w:val="auto"/>
                <w:sz w:val="21"/>
                <w:szCs w:val="21"/>
                <w:highlight w:val="none"/>
                <w:lang w:val="en-US" w:eastAsia="zh-CN"/>
              </w:rPr>
            </w:pPr>
            <w:r>
              <w:rPr>
                <w:rFonts w:hint="eastAsia" w:ascii="Times New Roman" w:hAnsi="Times New Roman" w:eastAsia="仿宋_GB2312" w:cs="仿宋_GB2312"/>
                <w:strike w:val="0"/>
                <w:color w:val="auto"/>
                <w:sz w:val="21"/>
                <w:szCs w:val="21"/>
                <w:highlight w:val="none"/>
                <w:lang w:eastAsia="zh-CN"/>
              </w:rPr>
              <w:t>市场主体</w:t>
            </w:r>
            <w:r>
              <w:rPr>
                <w:rFonts w:hint="eastAsia" w:ascii="Times New Roman" w:hAnsi="Times New Roman" w:eastAsia="仿宋_GB2312" w:cs="仿宋_GB2312"/>
                <w:strike w:val="0"/>
                <w:color w:val="auto"/>
                <w:sz w:val="21"/>
                <w:szCs w:val="21"/>
                <w:highlight w:val="none"/>
              </w:rPr>
              <w:t>未</w:t>
            </w:r>
            <w:r>
              <w:rPr>
                <w:rFonts w:hint="eastAsia" w:ascii="Times New Roman" w:hAnsi="Times New Roman" w:eastAsia="仿宋_GB2312" w:cs="仿宋_GB2312"/>
                <w:strike w:val="0"/>
                <w:color w:val="auto"/>
                <w:sz w:val="21"/>
                <w:szCs w:val="21"/>
                <w:highlight w:val="none"/>
                <w:lang w:eastAsia="zh-CN"/>
              </w:rPr>
              <w:t>依照规定</w:t>
            </w:r>
            <w:r>
              <w:rPr>
                <w:rFonts w:hint="eastAsia" w:ascii="Times New Roman" w:hAnsi="Times New Roman" w:eastAsia="仿宋_GB2312" w:cs="仿宋_GB2312"/>
                <w:strike w:val="0"/>
                <w:color w:val="auto"/>
                <w:sz w:val="21"/>
                <w:szCs w:val="21"/>
                <w:highlight w:val="none"/>
              </w:rPr>
              <w:t>将营业执照</w:t>
            </w:r>
            <w:r>
              <w:rPr>
                <w:rFonts w:hint="eastAsia" w:ascii="Times New Roman" w:hAnsi="Times New Roman" w:eastAsia="仿宋_GB2312" w:cs="仿宋_GB2312"/>
                <w:strike w:val="0"/>
                <w:color w:val="auto"/>
                <w:sz w:val="21"/>
                <w:szCs w:val="21"/>
                <w:highlight w:val="none"/>
                <w:lang w:eastAsia="zh-CN"/>
              </w:rPr>
              <w:t>置于住所或经营场所醒目位置的</w:t>
            </w:r>
          </w:p>
        </w:tc>
        <w:tc>
          <w:tcPr>
            <w:tcW w:w="789" w:type="pct"/>
            <w:noWrap w:val="0"/>
            <w:vAlign w:val="center"/>
          </w:tcPr>
          <w:p w14:paraId="32A4F241">
            <w:pPr>
              <w:keepNext w:val="0"/>
              <w:keepLines w:val="0"/>
              <w:pageBreakBefore w:val="0"/>
              <w:widowControl/>
              <w:spacing w:line="280" w:lineRule="exact"/>
              <w:rPr>
                <w:rStyle w:val="184"/>
                <w:rFonts w:hint="eastAsia" w:ascii="Times New Roman" w:hAnsi="Times New Roman" w:eastAsia="仿宋_GB2312" w:cs="仿宋_GB2312"/>
                <w:strike w:val="0"/>
                <w:color w:val="auto"/>
                <w:sz w:val="21"/>
                <w:szCs w:val="21"/>
                <w:highlight w:val="none"/>
                <w:lang w:val="en-US" w:eastAsia="zh-CN"/>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53CE50E4">
            <w:pPr>
              <w:keepNext w:val="0"/>
              <w:keepLines w:val="0"/>
              <w:pageBreakBefore w:val="0"/>
              <w:widowControl/>
              <w:spacing w:line="280" w:lineRule="exact"/>
              <w:rPr>
                <w:rFonts w:hint="eastAsia" w:ascii="Times New Roman" w:hAnsi="Times New Roman" w:eastAsia="仿宋_GB2312" w:cs="仿宋_GB2312"/>
                <w:b/>
                <w:bCs/>
                <w:strike w:val="0"/>
                <w:color w:val="auto"/>
                <w:sz w:val="21"/>
                <w:szCs w:val="21"/>
                <w:highlight w:val="none"/>
                <w:u w:val="none"/>
                <w:lang w:val="en-US" w:eastAsia="zh-CN" w:bidi="ar-SA"/>
              </w:rPr>
            </w:pPr>
            <w:r>
              <w:rPr>
                <w:rStyle w:val="184"/>
                <w:rFonts w:hint="eastAsia" w:ascii="Times New Roman" w:hAnsi="Times New Roman" w:eastAsia="仿宋_GB2312" w:cs="仿宋_GB2312"/>
                <w:strike w:val="0"/>
                <w:color w:val="auto"/>
                <w:sz w:val="21"/>
                <w:szCs w:val="21"/>
                <w:highlight w:val="none"/>
              </w:rPr>
              <w:t>《中华人民共和国市场主体登记管理条例》</w:t>
            </w:r>
            <w:r>
              <w:rPr>
                <w:rStyle w:val="184"/>
                <w:rFonts w:hint="eastAsia" w:ascii="Times New Roman" w:hAnsi="Times New Roman" w:eastAsia="仿宋_GB2312" w:cs="仿宋_GB2312"/>
                <w:b w:val="0"/>
                <w:bCs w:val="0"/>
                <w:strike w:val="0"/>
                <w:color w:val="auto"/>
                <w:sz w:val="21"/>
                <w:szCs w:val="21"/>
                <w:highlight w:val="none"/>
              </w:rPr>
              <w:t>第四十八条　市场主体未依照本条例将营业执照置于住所或者主要经营场所醒目位置的，由登记机关责令改正；拒不改正的，处3万元以下的罚款。</w:t>
            </w:r>
          </w:p>
        </w:tc>
      </w:tr>
      <w:tr w14:paraId="4A1C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307" w:type="pct"/>
            <w:noWrap w:val="0"/>
            <w:vAlign w:val="center"/>
          </w:tcPr>
          <w:p w14:paraId="4043CEF5">
            <w:pPr>
              <w:widowControl/>
              <w:spacing w:line="280" w:lineRule="exact"/>
              <w:jc w:val="center"/>
              <w:rPr>
                <w:rFonts w:hint="eastAsia"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19</w:t>
            </w:r>
          </w:p>
        </w:tc>
        <w:tc>
          <w:tcPr>
            <w:tcW w:w="898" w:type="pct"/>
            <w:noWrap w:val="0"/>
            <w:vAlign w:val="center"/>
          </w:tcPr>
          <w:p w14:paraId="7AE768F7">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lang w:val="en-US" w:eastAsia="zh-CN" w:bidi="ar-SA"/>
              </w:rPr>
            </w:pPr>
            <w:r>
              <w:rPr>
                <w:rFonts w:hint="eastAsia" w:ascii="Times New Roman" w:hAnsi="Times New Roman" w:eastAsia="仿宋_GB2312" w:cs="仿宋_GB2312"/>
                <w:b w:val="0"/>
                <w:bCs w:val="0"/>
                <w:color w:val="auto"/>
                <w:sz w:val="21"/>
                <w:szCs w:val="21"/>
                <w:highlight w:val="none"/>
                <w:lang w:val="en-US" w:eastAsia="zh-CN"/>
              </w:rPr>
              <w:t>未按规定公示终止歇业状态的</w:t>
            </w:r>
          </w:p>
        </w:tc>
        <w:tc>
          <w:tcPr>
            <w:tcW w:w="789" w:type="pct"/>
            <w:noWrap w:val="0"/>
            <w:vAlign w:val="center"/>
          </w:tcPr>
          <w:p w14:paraId="1EDF4E23">
            <w:pPr>
              <w:keepNext w:val="0"/>
              <w:keepLines w:val="0"/>
              <w:pageBreakBefore w:val="0"/>
              <w:widowControl/>
              <w:spacing w:line="280" w:lineRule="exact"/>
              <w:rPr>
                <w:rFonts w:hint="eastAsia" w:ascii="Times New Roman" w:hAnsi="Times New Roman" w:eastAsia="仿宋_GB2312" w:cs="仿宋_GB2312"/>
                <w:b w:val="0"/>
                <w:bCs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3C358AA4">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bCs/>
                <w:color w:val="auto"/>
                <w:sz w:val="21"/>
                <w:szCs w:val="21"/>
                <w:highlight w:val="none"/>
                <w:lang w:val="en-US" w:eastAsia="zh-CN"/>
              </w:rPr>
              <w:t>《中华人民共和国市场主体登记管理条例实施细则》</w:t>
            </w:r>
            <w:r>
              <w:rPr>
                <w:rFonts w:hint="eastAsia" w:ascii="Times New Roman" w:hAnsi="Times New Roman" w:eastAsia="仿宋_GB2312" w:cs="仿宋_GB2312"/>
                <w:b w:val="0"/>
                <w:bCs w:val="0"/>
                <w:color w:val="auto"/>
                <w:sz w:val="21"/>
                <w:szCs w:val="21"/>
                <w:highlight w:val="none"/>
                <w:lang w:val="en-US" w:eastAsia="zh-CN"/>
              </w:rPr>
              <w:t>第七十四条</w:t>
            </w:r>
            <w:r>
              <w:rPr>
                <w:rFonts w:hint="eastAsia" w:eastAsia="仿宋_GB2312" w:cs="仿宋_GB2312"/>
                <w:b w:val="0"/>
                <w:bCs w:val="0"/>
                <w:color w:val="auto"/>
                <w:sz w:val="21"/>
                <w:szCs w:val="21"/>
                <w:highlight w:val="none"/>
                <w:lang w:val="en-US" w:eastAsia="zh-CN"/>
              </w:rPr>
              <w:t xml:space="preserve">  </w:t>
            </w:r>
            <w:r>
              <w:rPr>
                <w:rFonts w:hint="eastAsia" w:ascii="Times New Roman" w:hAnsi="Times New Roman" w:eastAsia="仿宋_GB2312" w:cs="仿宋_GB2312"/>
                <w:b w:val="0"/>
                <w:bCs w:val="0"/>
                <w:color w:val="auto"/>
                <w:sz w:val="21"/>
                <w:szCs w:val="21"/>
                <w:highlight w:val="none"/>
                <w:lang w:val="en-US" w:eastAsia="zh-CN"/>
              </w:rPr>
              <w:t>市场主体未按照本实施细则第四十二条规定公示终止歇业的，由登记机关责令改正；拒不改正的，处3万元以下的罚款。</w:t>
            </w:r>
          </w:p>
          <w:p w14:paraId="11FFBAB1">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第四十二条</w:t>
            </w:r>
            <w:r>
              <w:rPr>
                <w:rFonts w:hint="eastAsia" w:eastAsia="仿宋_GB2312" w:cs="仿宋_GB2312"/>
                <w:b w:val="0"/>
                <w:bCs w:val="0"/>
                <w:color w:val="auto"/>
                <w:sz w:val="21"/>
                <w:szCs w:val="21"/>
                <w:highlight w:val="none"/>
                <w:lang w:val="en-US" w:eastAsia="zh-CN"/>
              </w:rPr>
              <w:t xml:space="preserve"> </w:t>
            </w:r>
            <w:r>
              <w:rPr>
                <w:rFonts w:hint="eastAsia" w:ascii="Times New Roman" w:hAnsi="Times New Roman" w:eastAsia="仿宋_GB2312" w:cs="仿宋_GB2312"/>
                <w:b w:val="0"/>
                <w:bCs w:val="0"/>
                <w:color w:val="auto"/>
                <w:sz w:val="21"/>
                <w:szCs w:val="21"/>
                <w:highlight w:val="none"/>
                <w:lang w:val="en-US" w:eastAsia="zh-CN"/>
              </w:rPr>
              <w:t xml:space="preserve"> 市场主体办理歇业备案后，自主决定开展或者已实际开展经营活动的，应当于30日内在国家企业信用信息公示系统上公示终止歇业。</w:t>
            </w:r>
          </w:p>
        </w:tc>
      </w:tr>
      <w:tr w14:paraId="60F5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jc w:val="center"/>
        </w:trPr>
        <w:tc>
          <w:tcPr>
            <w:tcW w:w="307" w:type="pct"/>
            <w:noWrap w:val="0"/>
            <w:vAlign w:val="center"/>
          </w:tcPr>
          <w:p w14:paraId="67BE2832">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20</w:t>
            </w:r>
          </w:p>
        </w:tc>
        <w:tc>
          <w:tcPr>
            <w:tcW w:w="898" w:type="pct"/>
            <w:noWrap w:val="0"/>
            <w:vAlign w:val="center"/>
          </w:tcPr>
          <w:p w14:paraId="2724C754">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食品小作坊未取得许可证从事食品生产经营活动的</w:t>
            </w:r>
          </w:p>
        </w:tc>
        <w:tc>
          <w:tcPr>
            <w:tcW w:w="789" w:type="pct"/>
            <w:noWrap w:val="0"/>
            <w:vAlign w:val="center"/>
          </w:tcPr>
          <w:p w14:paraId="345066D1">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7F0BC258">
            <w:pPr>
              <w:keepNext w:val="0"/>
              <w:keepLines w:val="0"/>
              <w:pageBreakBefore w:val="0"/>
              <w:widowControl/>
              <w:spacing w:line="280" w:lineRule="exact"/>
              <w:jc w:val="lef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《山西省食品小作坊小经营店小摊点管理条例》</w:t>
            </w:r>
            <w:r>
              <w:rPr>
                <w:rStyle w:val="185"/>
                <w:rFonts w:hint="eastAsia" w:ascii="Times New Roman" w:hAnsi="Times New Roman" w:eastAsia="仿宋_GB2312" w:cs="仿宋_GB2312"/>
                <w:strike w:val="0"/>
                <w:color w:val="auto"/>
                <w:sz w:val="21"/>
                <w:szCs w:val="21"/>
                <w:highlight w:val="none"/>
              </w:rPr>
              <w:br w:type="textWrapping"/>
            </w:r>
            <w:r>
              <w:rPr>
                <w:rStyle w:val="185"/>
                <w:rFonts w:hint="eastAsia" w:ascii="Times New Roman" w:hAnsi="Times New Roman" w:eastAsia="仿宋_GB2312" w:cs="仿宋_GB2312"/>
                <w:strike w:val="0"/>
                <w:color w:val="auto"/>
                <w:sz w:val="21"/>
                <w:szCs w:val="21"/>
                <w:highlight w:val="none"/>
              </w:rPr>
              <w:t>第十条第一款</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 xml:space="preserve"> 食品小作坊实行许可证管理，食品小经营店实行备案证管理，食品小摊点实行备案卡管理。</w:t>
            </w:r>
          </w:p>
          <w:p w14:paraId="6E7D7620">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u w:val="none"/>
                <w:lang w:val="en-US" w:eastAsia="zh-CN" w:bidi="ar-SA"/>
              </w:rPr>
            </w:pPr>
            <w:r>
              <w:rPr>
                <w:rStyle w:val="185"/>
                <w:rFonts w:hint="eastAsia" w:ascii="Times New Roman" w:hAnsi="Times New Roman" w:eastAsia="仿宋_GB2312" w:cs="仿宋_GB2312"/>
                <w:strike w:val="0"/>
                <w:color w:val="auto"/>
                <w:sz w:val="21"/>
                <w:szCs w:val="21"/>
                <w:highlight w:val="none"/>
              </w:rPr>
              <w:t xml:space="preserve">第三十九条第一款 </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违反本条例第十条规定，食品小作坊未取得许可证从事食品生产经营活动的，由县（市、区）人民政府市场监督管理部门或者省人民政府规定相对集中行使行政处罚权的部门责令限期改正；逾期不改正的，没收违法所得和违法生产经营的食品，可以没收用于违法生产的工具、设备、原料等物品；违法生产的食品货值不足一千元的，并处五百元以上二千元以下罚款；货值超过一千元的，并处货值金额二倍以上五倍以下罚款。</w:t>
            </w:r>
          </w:p>
        </w:tc>
      </w:tr>
      <w:tr w14:paraId="762B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2" w:hRule="atLeast"/>
          <w:jc w:val="center"/>
        </w:trPr>
        <w:tc>
          <w:tcPr>
            <w:tcW w:w="307" w:type="pct"/>
            <w:noWrap w:val="0"/>
            <w:vAlign w:val="center"/>
          </w:tcPr>
          <w:p w14:paraId="3FF00951">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21</w:t>
            </w:r>
          </w:p>
        </w:tc>
        <w:tc>
          <w:tcPr>
            <w:tcW w:w="898" w:type="pct"/>
            <w:noWrap w:val="0"/>
            <w:vAlign w:val="center"/>
          </w:tcPr>
          <w:p w14:paraId="15C436ED">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食品小经营店、食品小摊点未在规定期限内办理备案的</w:t>
            </w:r>
          </w:p>
        </w:tc>
        <w:tc>
          <w:tcPr>
            <w:tcW w:w="789" w:type="pct"/>
            <w:noWrap w:val="0"/>
            <w:vAlign w:val="center"/>
          </w:tcPr>
          <w:p w14:paraId="28FFF544">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4A1CE689">
            <w:pPr>
              <w:keepNext w:val="0"/>
              <w:keepLines w:val="0"/>
              <w:pageBreakBefore w:val="0"/>
              <w:widowControl/>
              <w:spacing w:line="280" w:lineRule="exact"/>
              <w:jc w:val="lef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《山西省食品小作坊小经营店小摊点管理条例》</w:t>
            </w:r>
            <w:r>
              <w:rPr>
                <w:rStyle w:val="185"/>
                <w:rFonts w:hint="eastAsia" w:ascii="Times New Roman" w:hAnsi="Times New Roman" w:eastAsia="仿宋_GB2312" w:cs="仿宋_GB2312"/>
                <w:strike w:val="0"/>
                <w:color w:val="auto"/>
                <w:sz w:val="21"/>
                <w:szCs w:val="21"/>
                <w:highlight w:val="none"/>
              </w:rPr>
              <w:br w:type="textWrapping"/>
            </w:r>
            <w:r>
              <w:rPr>
                <w:rStyle w:val="185"/>
                <w:rFonts w:hint="eastAsia" w:ascii="Times New Roman" w:hAnsi="Times New Roman" w:eastAsia="仿宋_GB2312" w:cs="仿宋_GB2312"/>
                <w:strike w:val="0"/>
                <w:color w:val="auto"/>
                <w:sz w:val="21"/>
                <w:szCs w:val="21"/>
                <w:highlight w:val="none"/>
              </w:rPr>
              <w:t>第二十四条  食品小经营店应当自开办之日起十五日内，办理食品小经营店备案证。</w:t>
            </w:r>
          </w:p>
          <w:p w14:paraId="74278EB1">
            <w:pPr>
              <w:keepNext w:val="0"/>
              <w:keepLines w:val="0"/>
              <w:pageBreakBefore w:val="0"/>
              <w:widowControl/>
              <w:spacing w:line="280" w:lineRule="exact"/>
              <w:jc w:val="left"/>
              <w:rPr>
                <w:rStyle w:val="185"/>
                <w:rFonts w:hint="eastAsia" w:ascii="Times New Roman" w:hAnsi="Times New Roman" w:eastAsia="仿宋_GB2312" w:cs="仿宋_GB2312"/>
                <w:strike w:val="0"/>
                <w:color w:val="auto"/>
                <w:sz w:val="21"/>
                <w:szCs w:val="21"/>
                <w:highlight w:val="none"/>
              </w:rPr>
            </w:pPr>
            <w:r>
              <w:rPr>
                <w:rStyle w:val="185"/>
                <w:rFonts w:hint="eastAsia" w:ascii="Times New Roman" w:hAnsi="Times New Roman" w:eastAsia="仿宋_GB2312" w:cs="仿宋_GB2312"/>
                <w:strike w:val="0"/>
                <w:color w:val="auto"/>
                <w:sz w:val="21"/>
                <w:szCs w:val="21"/>
                <w:highlight w:val="none"/>
              </w:rPr>
              <w:t>第二十八条  食品小摊点应当自开办之日起十五日内，办理食品小摊点备案卡。</w:t>
            </w:r>
          </w:p>
          <w:p w14:paraId="6F0BB5E6">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rPr>
              <w:t xml:space="preserve">第三十九条第二款 </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违反本条例第二十四条、第二十八条规定，食品小经营店、小摊点未在规定期限内办理备案的，由县（市、区）人民政府市场监督管理部门或者省人民政府规定相对集中行使行政处罚权的部门责令限期改正；逾期不改正的，没收违法所得、违法经营的食品，并处二百元以上一千元以下罚款。</w:t>
            </w:r>
          </w:p>
        </w:tc>
      </w:tr>
      <w:tr w14:paraId="7D13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noWrap w:val="0"/>
            <w:vAlign w:val="center"/>
          </w:tcPr>
          <w:p w14:paraId="674AEF59">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22</w:t>
            </w:r>
          </w:p>
        </w:tc>
        <w:tc>
          <w:tcPr>
            <w:tcW w:w="898" w:type="pct"/>
            <w:noWrap w:val="0"/>
            <w:vAlign w:val="center"/>
          </w:tcPr>
          <w:p w14:paraId="5ED3E5E7">
            <w:pPr>
              <w:keepNext w:val="0"/>
              <w:keepLines w:val="0"/>
              <w:pageBreakBefore w:val="0"/>
              <w:widowControl/>
              <w:spacing w:line="280" w:lineRule="exact"/>
              <w:jc w:val="left"/>
              <w:rPr>
                <w:rStyle w:val="184"/>
                <w:rFonts w:hint="eastAsia" w:ascii="Times New Roman" w:hAnsi="Times New Roman" w:eastAsia="仿宋_GB2312" w:cs="仿宋_GB2312"/>
                <w:strike w:val="0"/>
                <w:color w:val="auto"/>
                <w:sz w:val="21"/>
                <w:szCs w:val="21"/>
                <w:highlight w:val="none"/>
                <w:lang w:val="en-US" w:eastAsia="zh-CN"/>
              </w:rPr>
            </w:pPr>
            <w:r>
              <w:rPr>
                <w:rFonts w:hint="eastAsia" w:ascii="Times New Roman" w:hAnsi="Times New Roman" w:eastAsia="仿宋_GB2312" w:cs="仿宋_GB2312"/>
                <w:strike w:val="0"/>
                <w:color w:val="auto"/>
                <w:sz w:val="21"/>
                <w:szCs w:val="21"/>
                <w:highlight w:val="none"/>
              </w:rPr>
              <w:t>食品小作坊、小经营店和小摊点的从业人员未按规定进行健康检查，从事生产经营活动时未佩戴或者公示有效的健康证明的</w:t>
            </w:r>
          </w:p>
        </w:tc>
        <w:tc>
          <w:tcPr>
            <w:tcW w:w="789" w:type="pct"/>
            <w:noWrap w:val="0"/>
            <w:vAlign w:val="center"/>
          </w:tcPr>
          <w:p w14:paraId="16DE0291">
            <w:pPr>
              <w:keepNext w:val="0"/>
              <w:keepLines w:val="0"/>
              <w:pageBreakBefore w:val="0"/>
              <w:widowControl/>
              <w:spacing w:line="280" w:lineRule="exact"/>
              <w:rPr>
                <w:rStyle w:val="184"/>
                <w:rFonts w:hint="eastAsia" w:ascii="Times New Roman" w:hAnsi="Times New Roman" w:eastAsia="仿宋_GB2312" w:cs="仿宋_GB2312"/>
                <w:strike w:val="0"/>
                <w:color w:val="auto"/>
                <w:sz w:val="21"/>
                <w:szCs w:val="21"/>
                <w:highlight w:val="none"/>
                <w:lang w:val="en-US" w:eastAsia="zh-CN"/>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283FD601">
            <w:pPr>
              <w:keepNext w:val="0"/>
              <w:keepLines w:val="0"/>
              <w:pageBreakBefore w:val="0"/>
              <w:widowControl/>
              <w:spacing w:line="280" w:lineRule="exact"/>
              <w:jc w:val="lef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《山西省食品小作坊小经营店小摊点管理条例》</w:t>
            </w:r>
            <w:r>
              <w:rPr>
                <w:rStyle w:val="185"/>
                <w:rFonts w:hint="eastAsia" w:ascii="Times New Roman" w:hAnsi="Times New Roman" w:eastAsia="仿宋_GB2312" w:cs="仿宋_GB2312"/>
                <w:strike w:val="0"/>
                <w:color w:val="auto"/>
                <w:sz w:val="21"/>
                <w:szCs w:val="21"/>
                <w:highlight w:val="none"/>
              </w:rPr>
              <w:br w:type="textWrapping"/>
            </w:r>
            <w:r>
              <w:rPr>
                <w:rStyle w:val="185"/>
                <w:rFonts w:hint="eastAsia" w:ascii="Times New Roman" w:hAnsi="Times New Roman" w:eastAsia="仿宋_GB2312" w:cs="仿宋_GB2312"/>
                <w:strike w:val="0"/>
                <w:color w:val="auto"/>
                <w:sz w:val="21"/>
                <w:szCs w:val="21"/>
                <w:highlight w:val="none"/>
              </w:rPr>
              <w:t>第十四条第一款  食品小作坊、小经营店和小摊点的从业人员应当每年进行健康检查，从事生产经营活动时应当佩戴或者公示有效的健康证明。</w:t>
            </w:r>
          </w:p>
          <w:p w14:paraId="1053AA48">
            <w:pPr>
              <w:keepNext w:val="0"/>
              <w:keepLines w:val="0"/>
              <w:pageBreakBefore w:val="0"/>
              <w:widowControl/>
              <w:spacing w:line="280" w:lineRule="exact"/>
              <w:jc w:val="left"/>
              <w:rPr>
                <w:rStyle w:val="184"/>
                <w:rFonts w:hint="eastAsia" w:ascii="Times New Roman" w:hAnsi="Times New Roman" w:eastAsia="仿宋_GB2312" w:cs="仿宋_GB2312"/>
                <w:strike w:val="0"/>
                <w:color w:val="auto"/>
                <w:sz w:val="21"/>
                <w:szCs w:val="21"/>
                <w:highlight w:val="none"/>
                <w:lang w:val="en-US" w:eastAsia="zh-CN"/>
              </w:rPr>
            </w:pPr>
            <w:r>
              <w:rPr>
                <w:rStyle w:val="185"/>
                <w:rFonts w:hint="eastAsia" w:ascii="Times New Roman" w:hAnsi="Times New Roman" w:eastAsia="仿宋_GB2312" w:cs="仿宋_GB2312"/>
                <w:strike w:val="0"/>
                <w:color w:val="auto"/>
                <w:sz w:val="21"/>
                <w:szCs w:val="21"/>
                <w:highlight w:val="none"/>
              </w:rPr>
              <w:t>第四十条第一款</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 xml:space="preserve"> 违反本条例第十四条第一款规定的，由县（市、区）人民政府市场监督管理部门或者省人民政府规定相对集中行使行政处罚权的部门责令限期改正；逾期不改正的，处以每人一百元罚款。</w:t>
            </w:r>
          </w:p>
        </w:tc>
      </w:tr>
      <w:tr w14:paraId="78A2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307" w:type="pct"/>
            <w:noWrap w:val="0"/>
            <w:vAlign w:val="center"/>
          </w:tcPr>
          <w:p w14:paraId="3B0CF90A">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23</w:t>
            </w:r>
          </w:p>
        </w:tc>
        <w:tc>
          <w:tcPr>
            <w:tcW w:w="898" w:type="pct"/>
            <w:noWrap w:val="0"/>
            <w:vAlign w:val="center"/>
          </w:tcPr>
          <w:p w14:paraId="2C1D722D">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食品、食品添加剂的标签、说明书存在瑕疵的</w:t>
            </w:r>
          </w:p>
        </w:tc>
        <w:tc>
          <w:tcPr>
            <w:tcW w:w="789" w:type="pct"/>
            <w:noWrap w:val="0"/>
            <w:vAlign w:val="center"/>
          </w:tcPr>
          <w:p w14:paraId="3B1FAC43">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181CD33C">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4"/>
                <w:rFonts w:hint="eastAsia" w:ascii="Times New Roman" w:hAnsi="Times New Roman" w:eastAsia="仿宋_GB2312" w:cs="仿宋_GB2312"/>
                <w:strike w:val="0"/>
                <w:color w:val="auto"/>
                <w:sz w:val="21"/>
                <w:szCs w:val="21"/>
                <w:highlight w:val="none"/>
              </w:rPr>
              <w:t>《中华人民共和国食品安全法》</w:t>
            </w:r>
            <w:r>
              <w:rPr>
                <w:rStyle w:val="185"/>
                <w:rFonts w:hint="eastAsia" w:ascii="Times New Roman" w:hAnsi="Times New Roman" w:eastAsia="仿宋_GB2312" w:cs="仿宋_GB2312"/>
                <w:strike w:val="0"/>
                <w:color w:val="auto"/>
                <w:sz w:val="21"/>
                <w:szCs w:val="21"/>
                <w:highlight w:val="none"/>
              </w:rPr>
              <w:t>第一百二十五条第二款  生产经营的食品、食品添加剂的标签、说明书存在瑕疵但不影响食品安全且不会对消费者造成误导的，由县级以上人民政府食品安全监督管理部门责令改正；拒不改正的，处二千元以下罚款。</w:t>
            </w:r>
          </w:p>
        </w:tc>
      </w:tr>
      <w:tr w14:paraId="6F6F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2" w:hRule="atLeast"/>
          <w:jc w:val="center"/>
        </w:trPr>
        <w:tc>
          <w:tcPr>
            <w:tcW w:w="307" w:type="pct"/>
            <w:noWrap w:val="0"/>
            <w:vAlign w:val="center"/>
          </w:tcPr>
          <w:p w14:paraId="46E19A96">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bidi="ar-SA"/>
              </w:rPr>
            </w:pPr>
            <w:r>
              <w:rPr>
                <w:rFonts w:hint="eastAsia" w:ascii="Times New Roman" w:hAnsi="Times New Roman" w:eastAsia="仿宋_GB2312" w:cs="仿宋_GB2312"/>
                <w:b w:val="0"/>
                <w:bCs w:val="0"/>
                <w:strike w:val="0"/>
                <w:color w:val="auto"/>
                <w:sz w:val="21"/>
                <w:szCs w:val="21"/>
                <w:highlight w:val="none"/>
                <w:lang w:val="en-US" w:eastAsia="zh-CN"/>
              </w:rPr>
              <w:t>24</w:t>
            </w:r>
          </w:p>
        </w:tc>
        <w:tc>
          <w:tcPr>
            <w:tcW w:w="898" w:type="pct"/>
            <w:noWrap w:val="0"/>
            <w:vAlign w:val="center"/>
          </w:tcPr>
          <w:p w14:paraId="085C8FE1">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val="en-US" w:eastAsia="zh-CN"/>
              </w:rPr>
              <w:t>食品相关产品生产者未建立并实施食品相关产品质量安全管理制度等规定的</w:t>
            </w:r>
          </w:p>
        </w:tc>
        <w:tc>
          <w:tcPr>
            <w:tcW w:w="789" w:type="pct"/>
            <w:noWrap w:val="0"/>
            <w:vAlign w:val="center"/>
          </w:tcPr>
          <w:p w14:paraId="586E44D3">
            <w:pPr>
              <w:keepNext w:val="0"/>
              <w:keepLines w:val="0"/>
              <w:pageBreakBefore w:val="0"/>
              <w:widowControl/>
              <w:spacing w:line="280" w:lineRule="exac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35CEA320">
            <w:pPr>
              <w:keepNext w:val="0"/>
              <w:keepLines w:val="0"/>
              <w:pageBreakBefore w:val="0"/>
              <w:widowControl/>
              <w:spacing w:line="260" w:lineRule="exact"/>
              <w:jc w:val="left"/>
              <w:rPr>
                <w:rFonts w:hint="eastAsia" w:ascii="Times New Roman" w:hAnsi="Times New Roman" w:eastAsia="仿宋_GB2312" w:cs="仿宋_GB2312"/>
                <w:strike w:val="0"/>
                <w:color w:val="auto"/>
                <w:sz w:val="21"/>
                <w:szCs w:val="21"/>
                <w:highlight w:val="none"/>
                <w:u w:val="none"/>
                <w:lang w:val="en-US" w:eastAsia="zh-CN" w:bidi="ar-SA"/>
              </w:rPr>
            </w:pPr>
            <w:r>
              <w:rPr>
                <w:rStyle w:val="185"/>
                <w:rFonts w:hint="eastAsia" w:ascii="Times New Roman" w:hAnsi="Times New Roman" w:eastAsia="仿宋_GB2312" w:cs="仿宋_GB2312"/>
                <w:b/>
                <w:bCs/>
                <w:strike w:val="0"/>
                <w:color w:val="auto"/>
                <w:sz w:val="21"/>
                <w:szCs w:val="21"/>
                <w:highlight w:val="none"/>
                <w:lang w:eastAsia="zh-CN"/>
              </w:rPr>
              <w:t>《食品相关产品质量安全监督管理暂行办</w:t>
            </w:r>
            <w:r>
              <w:rPr>
                <w:rStyle w:val="185"/>
                <w:rFonts w:hint="eastAsia" w:ascii="Times New Roman" w:hAnsi="Times New Roman" w:eastAsia="仿宋_GB2312" w:cs="仿宋_GB2312"/>
                <w:b w:val="0"/>
                <w:bCs w:val="0"/>
                <w:strike w:val="0"/>
                <w:color w:val="auto"/>
                <w:sz w:val="21"/>
                <w:szCs w:val="21"/>
                <w:highlight w:val="none"/>
                <w:lang w:eastAsia="zh-CN"/>
              </w:rPr>
              <w:t>法》</w:t>
            </w:r>
            <w:r>
              <w:rPr>
                <w:rStyle w:val="185"/>
                <w:rFonts w:hint="eastAsia" w:ascii="Times New Roman" w:hAnsi="Times New Roman" w:eastAsia="仿宋_GB2312" w:cs="仿宋_GB2312"/>
                <w:strike w:val="0"/>
                <w:color w:val="auto"/>
                <w:sz w:val="21"/>
                <w:szCs w:val="21"/>
                <w:highlight w:val="none"/>
              </w:rPr>
              <w:t xml:space="preserve">第三十六条 </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违反本办法规定，有下列情形之一的，责令限期改正；逾期不改或者改正后仍然不符合要求的，处三万元以下罚款；情节严重的，处五万元以下罚款：（一）食品相关产品生产者未建立并实施本办法第九条第一款规定的食品相关产品质量安全管理制度的；（二）食品相关产品生产者未按照本办法第九条第二款规定制定食品相关产品质量安全事故处置方案的；（三）食品相关产品生产者未按照本办法第十条规定实施原辅料控制以及开展相关安全评估验证的；（四）食品相关产品生产者未按照本办法第十一条第二款规定建立并实施不合格产品管理制度、对检验结果不合格的产品进行相应处置的；（五）食品相关产品销售者未按照本办法第十二条建立并实施进货查验制度的。</w:t>
            </w:r>
          </w:p>
        </w:tc>
      </w:tr>
      <w:tr w14:paraId="38DE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307" w:type="pct"/>
            <w:noWrap w:val="0"/>
            <w:vAlign w:val="center"/>
          </w:tcPr>
          <w:p w14:paraId="68F5AD49">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25</w:t>
            </w:r>
          </w:p>
        </w:tc>
        <w:tc>
          <w:tcPr>
            <w:tcW w:w="898" w:type="pct"/>
            <w:noWrap w:val="0"/>
            <w:vAlign w:val="center"/>
          </w:tcPr>
          <w:p w14:paraId="47A0FD9D">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 xml:space="preserve">食品经营者外设仓库地址发生变化，未按规定报告，或者食品经营者终止食品经营，食品经营许可被撤回、撤销或者食品经营许可证被吊销，未按规定申请办理注销手续的 </w:t>
            </w:r>
          </w:p>
        </w:tc>
        <w:tc>
          <w:tcPr>
            <w:tcW w:w="789" w:type="pct"/>
            <w:noWrap w:val="0"/>
            <w:vAlign w:val="center"/>
          </w:tcPr>
          <w:p w14:paraId="3DF6FEB2">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3376E2B9">
            <w:pPr>
              <w:keepNext w:val="0"/>
              <w:keepLines w:val="0"/>
              <w:pageBreakBefore w:val="0"/>
              <w:widowControl/>
              <w:spacing w:line="280" w:lineRule="exact"/>
              <w:jc w:val="lef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《食品经营许可管理办法》</w:t>
            </w:r>
            <w:r>
              <w:rPr>
                <w:rStyle w:val="185"/>
                <w:rFonts w:hint="eastAsia" w:ascii="Times New Roman" w:hAnsi="Times New Roman" w:eastAsia="仿宋_GB2312" w:cs="仿宋_GB2312"/>
                <w:strike w:val="0"/>
                <w:color w:val="auto"/>
                <w:sz w:val="21"/>
                <w:szCs w:val="21"/>
                <w:highlight w:val="none"/>
              </w:rPr>
              <w:t xml:space="preserve">第二十七条第二款 </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经营场所发生变化的，应当重新申请食品经营许可。外设仓库地址发生变化的，食品经营者应当在变化后10个工作日内向原发证的食品药品监督管理部门报告。第三十六条第一款</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食品经营者终止食品经营，食品经营许可被撤回、撤销或者食品经营许可证被吊销的，应当在30个工作日内向原发证的食品药品监督管理部门申请办理注销手续。</w:t>
            </w:r>
          </w:p>
          <w:p w14:paraId="33ABCC40">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rPr>
              <w:t>第四十九条第二款</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违反本办法第二十七条第二款规定或者第三十六条第一款规定，食品经营者外设仓库地址发生变化，未按规定报告的，或者食品经营者终止食品经营，食品经营许可被撤回、撤销或者食品经营许可证被吊销，未按规定申请办理注销手续的，由原发证的食品药品监督管理部门责令改正；拒不改正的，给予警告，并处2000元以下罚款。</w:t>
            </w:r>
          </w:p>
        </w:tc>
      </w:tr>
      <w:tr w14:paraId="1137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3" w:hRule="atLeast"/>
          <w:jc w:val="center"/>
        </w:trPr>
        <w:tc>
          <w:tcPr>
            <w:tcW w:w="307" w:type="pct"/>
            <w:noWrap w:val="0"/>
            <w:vAlign w:val="center"/>
          </w:tcPr>
          <w:p w14:paraId="6FF73949">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26</w:t>
            </w:r>
          </w:p>
        </w:tc>
        <w:tc>
          <w:tcPr>
            <w:tcW w:w="898" w:type="pct"/>
            <w:noWrap w:val="0"/>
            <w:vAlign w:val="center"/>
          </w:tcPr>
          <w:p w14:paraId="095AF0A6">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食品生产许可证副本载明的同一食品类别内的事项发生变化，食品生产者未按规定报告的，食品生产者终止食品生产，食品生产许可被撤回、撤销或者食品生产许可证被吊销，未按规定申请办理注销手续的</w:t>
            </w:r>
          </w:p>
        </w:tc>
        <w:tc>
          <w:tcPr>
            <w:tcW w:w="789" w:type="pct"/>
            <w:noWrap w:val="0"/>
            <w:vAlign w:val="center"/>
          </w:tcPr>
          <w:p w14:paraId="0E64973D">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0FA5F8BE">
            <w:pPr>
              <w:keepNext w:val="0"/>
              <w:keepLines w:val="0"/>
              <w:pageBreakBefore w:val="0"/>
              <w:widowControl/>
              <w:spacing w:line="280" w:lineRule="exact"/>
              <w:jc w:val="left"/>
              <w:rPr>
                <w:rStyle w:val="184"/>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《食品生产许可管理办法》</w:t>
            </w:r>
            <w:r>
              <w:rPr>
                <w:rStyle w:val="185"/>
                <w:rFonts w:hint="eastAsia" w:ascii="Times New Roman" w:hAnsi="Times New Roman" w:eastAsia="仿宋_GB2312" w:cs="仿宋_GB2312"/>
                <w:strike w:val="0"/>
                <w:color w:val="auto"/>
                <w:sz w:val="21"/>
                <w:szCs w:val="21"/>
                <w:highlight w:val="none"/>
              </w:rPr>
              <w:t>第三十二条第三款</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食品生产许可证副本载明的同一食品类别内的事项发生变化的，食品生产者应当在变化后10个工作日内向原发证的市场监督管理部门报告。第四十条第一款  食品生产者终止食品生产，食品生产许可被撤回、撤销，应当在20个工作日内向原发证的市场监督管理部门申请办理注销手续。</w:t>
            </w:r>
          </w:p>
          <w:p w14:paraId="6DF8BAA0">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rPr>
              <w:t>第五十三条第三款违反本办法第三十二条第三款、第四十条第一款规定，食品生产许可证副本载明的同一食品类别内的事项发生变化，食品生产者未按规定报告的，食品生产者终止食品生产，食品生产许可被撤回、撤销或者食品生产许可证被吊销，未按规定申请办理注销手续的，由原发证的市场监督管理部门责令改正；拒不改正的，给予警告，并处5000元以下罚款。</w:t>
            </w:r>
          </w:p>
        </w:tc>
      </w:tr>
      <w:tr w14:paraId="74C1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1" w:hRule="atLeast"/>
          <w:jc w:val="center"/>
        </w:trPr>
        <w:tc>
          <w:tcPr>
            <w:tcW w:w="307" w:type="pct"/>
            <w:noWrap w:val="0"/>
            <w:vAlign w:val="center"/>
          </w:tcPr>
          <w:p w14:paraId="030180EA">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27</w:t>
            </w:r>
          </w:p>
        </w:tc>
        <w:tc>
          <w:tcPr>
            <w:tcW w:w="898" w:type="pct"/>
            <w:noWrap w:val="0"/>
            <w:vAlign w:val="center"/>
          </w:tcPr>
          <w:p w14:paraId="45DD7630">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 xml:space="preserve">食品生产者、食品经营者未按规定在生产经营场所的显著位置悬挂或者摆放食品生产许可证、食品经营许可证正本的 </w:t>
            </w:r>
          </w:p>
        </w:tc>
        <w:tc>
          <w:tcPr>
            <w:tcW w:w="789" w:type="pct"/>
            <w:noWrap w:val="0"/>
            <w:vAlign w:val="center"/>
          </w:tcPr>
          <w:p w14:paraId="5B5EBE7E">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0C320975">
            <w:pPr>
              <w:keepNext w:val="0"/>
              <w:keepLines w:val="0"/>
              <w:pageBreakBefore w:val="0"/>
              <w:widowControl/>
              <w:spacing w:line="280" w:lineRule="exact"/>
              <w:jc w:val="lef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《食品生产许可管理办法》</w:t>
            </w:r>
            <w:r>
              <w:rPr>
                <w:rStyle w:val="185"/>
                <w:rFonts w:hint="eastAsia" w:ascii="Times New Roman" w:hAnsi="Times New Roman" w:eastAsia="仿宋_GB2312" w:cs="仿宋_GB2312"/>
                <w:strike w:val="0"/>
                <w:color w:val="auto"/>
                <w:sz w:val="21"/>
                <w:szCs w:val="21"/>
                <w:highlight w:val="none"/>
              </w:rPr>
              <w:t>第三十一条第二款：食品生产者应当在生产场所的显著位置悬挂或者摆放食品生产许可证正本。第五十二条第二款：违反本办法第三十一条第二款规定，食品生产者未按规定在生产场所的显著位置悬挂或者摆放食品生产许可证的，由县级以上地方市场监督管理部门责令改正；拒不改正的，给予警告。</w:t>
            </w:r>
          </w:p>
          <w:p w14:paraId="2CBB3D79">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4"/>
                <w:rFonts w:hint="eastAsia" w:ascii="Times New Roman" w:hAnsi="Times New Roman" w:eastAsia="仿宋_GB2312" w:cs="仿宋_GB2312"/>
                <w:strike w:val="0"/>
                <w:color w:val="auto"/>
                <w:sz w:val="21"/>
                <w:szCs w:val="21"/>
                <w:highlight w:val="none"/>
              </w:rPr>
              <w:t>《食品经营许可管理办法》</w:t>
            </w:r>
            <w:r>
              <w:rPr>
                <w:rStyle w:val="185"/>
                <w:rFonts w:hint="eastAsia" w:ascii="Times New Roman" w:hAnsi="Times New Roman" w:eastAsia="仿宋_GB2312" w:cs="仿宋_GB2312"/>
                <w:strike w:val="0"/>
                <w:color w:val="auto"/>
                <w:sz w:val="21"/>
                <w:szCs w:val="21"/>
                <w:highlight w:val="none"/>
              </w:rPr>
              <w:t>第二十六条第二款：食品经营者应当在经营场所的显著位置悬挂或者摆放食品经营许可证正本。第四十八条第二款：违反本办法第二十六条第二款规定，食品经营者未按规定在经营场所的显著位置悬挂或者摆放食品经营许可证的，由县级以上地方食品药品监督管理部门责令改正；拒不改正的，给予警告。</w:t>
            </w:r>
          </w:p>
        </w:tc>
      </w:tr>
      <w:tr w14:paraId="51E2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jc w:val="center"/>
        </w:trPr>
        <w:tc>
          <w:tcPr>
            <w:tcW w:w="307" w:type="pct"/>
            <w:noWrap w:val="0"/>
            <w:vAlign w:val="center"/>
          </w:tcPr>
          <w:p w14:paraId="6D6CD46B">
            <w:pPr>
              <w:widowControl/>
              <w:spacing w:line="280" w:lineRule="exact"/>
              <w:jc w:val="center"/>
              <w:rPr>
                <w:rFonts w:hint="eastAsia"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28</w:t>
            </w:r>
          </w:p>
        </w:tc>
        <w:tc>
          <w:tcPr>
            <w:tcW w:w="898" w:type="pct"/>
            <w:noWrap w:val="0"/>
            <w:vAlign w:val="center"/>
          </w:tcPr>
          <w:p w14:paraId="0FD79808">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lang w:eastAsia="zh-CN"/>
              </w:rPr>
              <w:t>特种设备</w:t>
            </w:r>
            <w:r>
              <w:rPr>
                <w:rStyle w:val="185"/>
                <w:rFonts w:hint="eastAsia" w:ascii="Times New Roman" w:hAnsi="Times New Roman" w:eastAsia="仿宋_GB2312" w:cs="仿宋_GB2312"/>
                <w:b w:val="0"/>
                <w:bCs w:val="0"/>
                <w:color w:val="auto"/>
                <w:sz w:val="21"/>
                <w:szCs w:val="21"/>
                <w:highlight w:val="none"/>
              </w:rPr>
              <w:t>未进行型式试验</w:t>
            </w:r>
            <w:r>
              <w:rPr>
                <w:rStyle w:val="185"/>
                <w:rFonts w:hint="eastAsia" w:ascii="Times New Roman" w:hAnsi="Times New Roman" w:eastAsia="仿宋_GB2312" w:cs="仿宋_GB2312"/>
                <w:b w:val="0"/>
                <w:bCs w:val="0"/>
                <w:color w:val="auto"/>
                <w:sz w:val="21"/>
                <w:szCs w:val="21"/>
                <w:highlight w:val="none"/>
                <w:lang w:eastAsia="zh-CN"/>
              </w:rPr>
              <w:t>的</w:t>
            </w:r>
          </w:p>
        </w:tc>
        <w:tc>
          <w:tcPr>
            <w:tcW w:w="789" w:type="pct"/>
            <w:noWrap w:val="0"/>
            <w:vAlign w:val="center"/>
          </w:tcPr>
          <w:p w14:paraId="2FD58933">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43E95631">
            <w:pPr>
              <w:keepNext w:val="0"/>
              <w:keepLines w:val="0"/>
              <w:pageBreakBefore w:val="0"/>
              <w:widowControl/>
              <w:spacing w:line="280" w:lineRule="exact"/>
              <w:jc w:val="left"/>
              <w:rPr>
                <w:rStyle w:val="185"/>
                <w:rFonts w:hint="eastAsia" w:ascii="Times New Roman" w:hAnsi="Times New Roman" w:eastAsia="仿宋_GB2312" w:cs="仿宋_GB2312"/>
                <w:b w:val="0"/>
                <w:bCs w:val="0"/>
                <w:color w:val="auto"/>
                <w:sz w:val="21"/>
                <w:szCs w:val="21"/>
                <w:highlight w:val="none"/>
              </w:rPr>
            </w:pPr>
            <w:r>
              <w:rPr>
                <w:rStyle w:val="185"/>
                <w:rFonts w:hint="eastAsia" w:ascii="Times New Roman" w:hAnsi="Times New Roman" w:eastAsia="仿宋_GB2312" w:cs="仿宋_GB2312"/>
                <w:b/>
                <w:bCs/>
                <w:color w:val="auto"/>
                <w:sz w:val="21"/>
                <w:szCs w:val="21"/>
                <w:highlight w:val="none"/>
              </w:rPr>
              <w:t>《中华人民共和国特种设备安全法》</w:t>
            </w:r>
            <w:r>
              <w:rPr>
                <w:rStyle w:val="185"/>
                <w:rFonts w:hint="eastAsia" w:ascii="Times New Roman" w:hAnsi="Times New Roman" w:eastAsia="仿宋_GB2312" w:cs="仿宋_GB2312"/>
                <w:b w:val="0"/>
                <w:bCs w:val="0"/>
                <w:color w:val="auto"/>
                <w:sz w:val="21"/>
                <w:szCs w:val="21"/>
                <w:highlight w:val="none"/>
              </w:rPr>
              <w:t>第</w:t>
            </w:r>
            <w:r>
              <w:rPr>
                <w:rStyle w:val="185"/>
                <w:rFonts w:hint="eastAsia" w:ascii="Times New Roman" w:hAnsi="Times New Roman" w:eastAsia="仿宋_GB2312" w:cs="仿宋_GB2312"/>
                <w:b w:val="0"/>
                <w:bCs w:val="0"/>
                <w:color w:val="auto"/>
                <w:sz w:val="21"/>
                <w:szCs w:val="21"/>
                <w:highlight w:val="none"/>
                <w:lang w:eastAsia="zh-CN"/>
              </w:rPr>
              <w:t>二</w:t>
            </w:r>
            <w:r>
              <w:rPr>
                <w:rStyle w:val="185"/>
                <w:rFonts w:hint="eastAsia" w:ascii="Times New Roman" w:hAnsi="Times New Roman" w:eastAsia="仿宋_GB2312" w:cs="仿宋_GB2312"/>
                <w:b w:val="0"/>
                <w:bCs w:val="0"/>
                <w:color w:val="auto"/>
                <w:sz w:val="21"/>
                <w:szCs w:val="21"/>
                <w:highlight w:val="none"/>
              </w:rPr>
              <w:t>十条</w:t>
            </w:r>
            <w:r>
              <w:rPr>
                <w:rStyle w:val="185"/>
                <w:rFonts w:hint="eastAsia" w:ascii="Times New Roman" w:hAnsi="Times New Roman" w:eastAsia="仿宋_GB2312" w:cs="仿宋_GB2312"/>
                <w:b w:val="0"/>
                <w:bCs w:val="0"/>
                <w:color w:val="auto"/>
                <w:sz w:val="21"/>
                <w:szCs w:val="21"/>
                <w:highlight w:val="none"/>
                <w:lang w:eastAsia="zh-CN"/>
              </w:rPr>
              <w:t>第二款</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14:paraId="26A65144">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rPr>
              <w:t xml:space="preserve">第七十六条 </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违反本法规定，未进行型式试验的，责令限期改正；逾期未改正的，处三万元以上三十万元以下罚款。</w:t>
            </w:r>
          </w:p>
        </w:tc>
      </w:tr>
      <w:tr w14:paraId="1A4D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jc w:val="center"/>
        </w:trPr>
        <w:tc>
          <w:tcPr>
            <w:tcW w:w="307" w:type="pct"/>
            <w:noWrap w:val="0"/>
            <w:vAlign w:val="center"/>
          </w:tcPr>
          <w:p w14:paraId="3468061B">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29</w:t>
            </w:r>
          </w:p>
        </w:tc>
        <w:tc>
          <w:tcPr>
            <w:tcW w:w="898" w:type="pct"/>
            <w:noWrap w:val="0"/>
            <w:vAlign w:val="center"/>
          </w:tcPr>
          <w:p w14:paraId="06B31580">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rPr>
              <w:t>特种设备出厂时，未按照安全技术规范的要求随附相关技术资料和文件的</w:t>
            </w:r>
          </w:p>
        </w:tc>
        <w:tc>
          <w:tcPr>
            <w:tcW w:w="789" w:type="pct"/>
            <w:noWrap w:val="0"/>
            <w:vAlign w:val="center"/>
          </w:tcPr>
          <w:p w14:paraId="318D057A">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78A1DA50">
            <w:pPr>
              <w:keepNext w:val="0"/>
              <w:keepLines w:val="0"/>
              <w:pageBreakBefore w:val="0"/>
              <w:widowControl/>
              <w:spacing w:line="320" w:lineRule="exact"/>
              <w:jc w:val="left"/>
              <w:rPr>
                <w:rStyle w:val="185"/>
                <w:rFonts w:hint="eastAsia" w:ascii="Times New Roman" w:hAnsi="Times New Roman" w:eastAsia="仿宋_GB2312" w:cs="仿宋_GB2312"/>
                <w:b w:val="0"/>
                <w:bCs w:val="0"/>
                <w:color w:val="auto"/>
                <w:sz w:val="21"/>
                <w:szCs w:val="21"/>
                <w:highlight w:val="none"/>
              </w:rPr>
            </w:pPr>
            <w:r>
              <w:rPr>
                <w:rStyle w:val="185"/>
                <w:rFonts w:hint="eastAsia" w:ascii="Times New Roman" w:hAnsi="Times New Roman" w:eastAsia="仿宋_GB2312" w:cs="仿宋_GB2312"/>
                <w:b/>
                <w:bCs/>
                <w:color w:val="auto"/>
                <w:sz w:val="21"/>
                <w:szCs w:val="21"/>
                <w:highlight w:val="none"/>
              </w:rPr>
              <w:t>《中华人民共和国特种设备安全法》</w:t>
            </w:r>
            <w:r>
              <w:rPr>
                <w:rStyle w:val="185"/>
                <w:rFonts w:hint="eastAsia" w:ascii="Times New Roman" w:hAnsi="Times New Roman" w:eastAsia="仿宋_GB2312" w:cs="仿宋_GB2312"/>
                <w:b w:val="0"/>
                <w:bCs w:val="0"/>
                <w:color w:val="auto"/>
                <w:sz w:val="21"/>
                <w:szCs w:val="21"/>
                <w:highlight w:val="none"/>
              </w:rPr>
              <w:t>第二十一条</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 xml:space="preserve"> 特种设备出厂时，应当随附安全技术规范要求的设计文件、产品质量合格证明、安装及使用维护保养说明、监督检验证明等相关技术资料和文件，并在特种设备显著位置设置产品铭牌、安全警示标志及其说明。</w:t>
            </w:r>
          </w:p>
          <w:p w14:paraId="223BC336">
            <w:pPr>
              <w:keepNext w:val="0"/>
              <w:keepLines w:val="0"/>
              <w:pageBreakBefore w:val="0"/>
              <w:widowControl/>
              <w:spacing w:line="32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rPr>
              <w:t>第七十七条</w:t>
            </w:r>
            <w:r>
              <w:rPr>
                <w:rStyle w:val="185"/>
                <w:rFonts w:hint="eastAsia" w:ascii="Times New Roman" w:hAnsi="Times New Roman" w:eastAsia="仿宋_GB2312" w:cs="仿宋_GB2312"/>
                <w:b w:val="0"/>
                <w:bCs w:val="0"/>
                <w:color w:val="auto"/>
                <w:sz w:val="21"/>
                <w:szCs w:val="21"/>
                <w:highlight w:val="none"/>
                <w:lang w:val="en-US" w:eastAsia="zh-CN"/>
              </w:rPr>
              <w:t xml:space="preserve"> </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违反本法规定，特种设备出厂时，未按照安全技术规范的要求随附相关技术资料和文件的，责令限期改正；逾期未改正的，责令停止制造、销售，处二万元以上二十万元以下罚款；有违法所得的，没收违法所得。</w:t>
            </w:r>
          </w:p>
        </w:tc>
      </w:tr>
      <w:tr w14:paraId="38CC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7" w:hRule="atLeast"/>
          <w:jc w:val="center"/>
        </w:trPr>
        <w:tc>
          <w:tcPr>
            <w:tcW w:w="307" w:type="pct"/>
            <w:noWrap w:val="0"/>
            <w:vAlign w:val="center"/>
          </w:tcPr>
          <w:p w14:paraId="33E8A5E1">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30</w:t>
            </w:r>
          </w:p>
        </w:tc>
        <w:tc>
          <w:tcPr>
            <w:tcW w:w="898" w:type="pct"/>
            <w:noWrap w:val="0"/>
            <w:vAlign w:val="center"/>
          </w:tcPr>
          <w:p w14:paraId="211D073D">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lang w:val="en-US" w:eastAsia="zh-CN"/>
              </w:rPr>
              <w:t>电梯制造单位未按照安全技术规范的要求对电梯进行校验、调试的，或者对电梯的安全运行情况进行跟踪调查和了解时，发现存在严重事故隐患，未及时告知电梯使用单位并向负责特种设备安全监督管理的部门报告的</w:t>
            </w:r>
          </w:p>
        </w:tc>
        <w:tc>
          <w:tcPr>
            <w:tcW w:w="789" w:type="pct"/>
            <w:noWrap w:val="0"/>
            <w:vAlign w:val="center"/>
          </w:tcPr>
          <w:p w14:paraId="46183571">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41608DD6">
            <w:pPr>
              <w:keepNext w:val="0"/>
              <w:keepLines w:val="0"/>
              <w:pageBreakBefore w:val="0"/>
              <w:widowControl/>
              <w:spacing w:line="320" w:lineRule="exact"/>
              <w:jc w:val="left"/>
              <w:rPr>
                <w:rStyle w:val="185"/>
                <w:rFonts w:hint="eastAsia" w:ascii="Times New Roman" w:hAnsi="Times New Roman" w:eastAsia="仿宋_GB2312" w:cs="仿宋_GB2312"/>
                <w:b w:val="0"/>
                <w:bCs w:val="0"/>
                <w:color w:val="auto"/>
                <w:sz w:val="21"/>
                <w:szCs w:val="21"/>
                <w:highlight w:val="none"/>
                <w:lang w:val="en-US" w:eastAsia="zh-CN"/>
              </w:rPr>
            </w:pPr>
            <w:r>
              <w:rPr>
                <w:rStyle w:val="185"/>
                <w:rFonts w:hint="eastAsia" w:ascii="Times New Roman" w:hAnsi="Times New Roman" w:eastAsia="仿宋_GB2312" w:cs="仿宋_GB2312"/>
                <w:b/>
                <w:bCs/>
                <w:color w:val="auto"/>
                <w:sz w:val="21"/>
                <w:szCs w:val="21"/>
                <w:highlight w:val="none"/>
                <w:lang w:val="en-US" w:eastAsia="zh-CN"/>
              </w:rPr>
              <w:t>《中华人民共和国特种设备安全法》</w:t>
            </w:r>
            <w:r>
              <w:rPr>
                <w:rStyle w:val="185"/>
                <w:rFonts w:hint="eastAsia" w:ascii="Times New Roman" w:hAnsi="Times New Roman" w:eastAsia="仿宋_GB2312" w:cs="仿宋_GB2312"/>
                <w:b w:val="0"/>
                <w:bCs w:val="0"/>
                <w:color w:val="auto"/>
                <w:sz w:val="21"/>
                <w:szCs w:val="21"/>
                <w:highlight w:val="none"/>
                <w:lang w:val="en-US" w:eastAsia="zh-CN"/>
              </w:rPr>
              <w:t xml:space="preserve">第二十二条 </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lang w:val="en-US" w:eastAsia="zh-CN"/>
              </w:rPr>
              <w:t xml:space="preserve">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第四十六条 </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lang w:val="en-US" w:eastAsia="zh-CN"/>
              </w:rPr>
              <w:t>电梯投入使用后，电梯制造单位应当对其制造的电梯的安全运行情况进行跟踪调查和了解，对电梯的维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作出记录。</w:t>
            </w:r>
          </w:p>
          <w:p w14:paraId="0910182D">
            <w:pPr>
              <w:keepNext w:val="0"/>
              <w:keepLines w:val="0"/>
              <w:pageBreakBefore w:val="0"/>
              <w:widowControl/>
              <w:spacing w:line="320" w:lineRule="exact"/>
              <w:jc w:val="left"/>
              <w:rPr>
                <w:rStyle w:val="185"/>
                <w:rFonts w:hint="eastAsia" w:ascii="Times New Roman" w:hAnsi="Times New Roman" w:eastAsia="仿宋_GB2312" w:cs="仿宋_GB2312"/>
                <w:b w:val="0"/>
                <w:bCs w:val="0"/>
                <w:color w:val="auto"/>
                <w:sz w:val="21"/>
                <w:szCs w:val="21"/>
                <w:highlight w:val="none"/>
                <w:lang w:val="en-US" w:eastAsia="zh-CN"/>
              </w:rPr>
            </w:pPr>
            <w:r>
              <w:rPr>
                <w:rStyle w:val="185"/>
                <w:rFonts w:hint="eastAsia" w:ascii="Times New Roman" w:hAnsi="Times New Roman" w:eastAsia="仿宋_GB2312" w:cs="仿宋_GB2312"/>
                <w:b w:val="0"/>
                <w:bCs w:val="0"/>
                <w:color w:val="auto"/>
                <w:sz w:val="21"/>
                <w:szCs w:val="21"/>
                <w:highlight w:val="none"/>
                <w:lang w:val="en-US" w:eastAsia="zh-CN"/>
              </w:rPr>
              <w:t>第八十条</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lang w:val="en-US" w:eastAsia="zh-CN"/>
              </w:rPr>
              <w:t xml:space="preserve"> 违反本法规定，电梯制造单位有下列情形之一的，责令限期改正；逾期未改正的，处一万元以上十万元以下罚款：</w:t>
            </w:r>
          </w:p>
          <w:p w14:paraId="29069987">
            <w:pPr>
              <w:keepNext w:val="0"/>
              <w:keepLines w:val="0"/>
              <w:pageBreakBefore w:val="0"/>
              <w:widowControl/>
              <w:spacing w:line="320" w:lineRule="exact"/>
              <w:jc w:val="left"/>
              <w:rPr>
                <w:rStyle w:val="185"/>
                <w:rFonts w:hint="eastAsia" w:ascii="Times New Roman" w:hAnsi="Times New Roman" w:eastAsia="仿宋_GB2312" w:cs="仿宋_GB2312"/>
                <w:b w:val="0"/>
                <w:bCs w:val="0"/>
                <w:color w:val="auto"/>
                <w:sz w:val="21"/>
                <w:szCs w:val="21"/>
                <w:highlight w:val="none"/>
                <w:lang w:val="en-US" w:eastAsia="zh-CN"/>
              </w:rPr>
            </w:pPr>
            <w:r>
              <w:rPr>
                <w:rStyle w:val="185"/>
                <w:rFonts w:hint="eastAsia" w:ascii="Times New Roman" w:hAnsi="Times New Roman" w:eastAsia="仿宋_GB2312" w:cs="仿宋_GB2312"/>
                <w:b w:val="0"/>
                <w:bCs w:val="0"/>
                <w:color w:val="auto"/>
                <w:sz w:val="21"/>
                <w:szCs w:val="21"/>
                <w:highlight w:val="none"/>
                <w:lang w:val="en-US" w:eastAsia="zh-CN"/>
              </w:rPr>
              <w:t>（一）未按照安全技术规范的要求对电梯进行校验、调试的；</w:t>
            </w:r>
          </w:p>
          <w:p w14:paraId="1705E046">
            <w:pPr>
              <w:keepNext w:val="0"/>
              <w:keepLines w:val="0"/>
              <w:pageBreakBefore w:val="0"/>
              <w:widowControl/>
              <w:spacing w:line="32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lang w:val="en-US" w:eastAsia="zh-CN"/>
              </w:rPr>
              <w:t>（二）对电梯的安全运行情况进行跟踪调查和了解时，发现存在严重事故隐患，未及时告知电梯使用单位并向负责特种设备安全监督管理的部门报告的。</w:t>
            </w:r>
          </w:p>
        </w:tc>
      </w:tr>
      <w:tr w14:paraId="2AF3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0" w:hRule="atLeast"/>
          <w:jc w:val="center"/>
        </w:trPr>
        <w:tc>
          <w:tcPr>
            <w:tcW w:w="307" w:type="pct"/>
            <w:noWrap w:val="0"/>
            <w:vAlign w:val="center"/>
          </w:tcPr>
          <w:p w14:paraId="327BFFCF">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31</w:t>
            </w:r>
          </w:p>
        </w:tc>
        <w:tc>
          <w:tcPr>
            <w:tcW w:w="898" w:type="pct"/>
            <w:noWrap w:val="0"/>
            <w:vAlign w:val="center"/>
          </w:tcPr>
          <w:p w14:paraId="209535B8">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特种设备安装、改造、修理的施工单位在施工前未书面告知负责特种设备安全监督管理的部门即行施工的，或者在验收后三十日内未将相关技术资料和文件移交特种设备使用单位的</w:t>
            </w:r>
          </w:p>
        </w:tc>
        <w:tc>
          <w:tcPr>
            <w:tcW w:w="789" w:type="pct"/>
            <w:noWrap w:val="0"/>
            <w:vAlign w:val="center"/>
          </w:tcPr>
          <w:p w14:paraId="127A1BB8">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37B2D540">
            <w:pPr>
              <w:keepNext w:val="0"/>
              <w:keepLines w:val="0"/>
              <w:pageBreakBefore w:val="0"/>
              <w:widowControl/>
              <w:spacing w:line="280" w:lineRule="exact"/>
              <w:jc w:val="lef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《中华人民共和国特种设备安全法》</w:t>
            </w:r>
            <w:r>
              <w:rPr>
                <w:rStyle w:val="185"/>
                <w:rFonts w:hint="eastAsia" w:ascii="Times New Roman" w:hAnsi="Times New Roman" w:eastAsia="仿宋_GB2312" w:cs="仿宋_GB2312"/>
                <w:strike w:val="0"/>
                <w:color w:val="auto"/>
                <w:sz w:val="21"/>
                <w:szCs w:val="21"/>
                <w:highlight w:val="none"/>
              </w:rPr>
              <w:t xml:space="preserve">第二十三条  特种设备安装、改造、修理的施工单位应当在施工前将拟进行的特种设备安装、改造、修理情况书面告知直辖市或者设区的市级人民政府负责特种设备安全监督管理的部门。第二十四条 </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特种设备安装、改造、修理竣工后，安装、改造、修理的施工单位应当在验收后三十日内将相关技术资料和文件移交特种设备使用单位。特种设备使用单位应当将其存入该特种设备的安全技术档案。</w:t>
            </w:r>
          </w:p>
          <w:p w14:paraId="474167D6">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rPr>
              <w:t>第七十八条</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 xml:space="preserve">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r>
      <w:tr w14:paraId="0798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307" w:type="pct"/>
            <w:noWrap w:val="0"/>
            <w:vAlign w:val="center"/>
          </w:tcPr>
          <w:p w14:paraId="3976E3D9">
            <w:pPr>
              <w:widowControl/>
              <w:spacing w:line="280" w:lineRule="exact"/>
              <w:jc w:val="center"/>
              <w:rPr>
                <w:rStyle w:val="185"/>
                <w:rFonts w:hint="default" w:ascii="Times New Roman" w:hAnsi="Times New Roman" w:eastAsia="仿宋_GB2312"/>
                <w:b w:val="0"/>
                <w:bCs w:val="0"/>
                <w:strike w:val="0"/>
                <w:color w:val="auto"/>
                <w:sz w:val="21"/>
                <w:szCs w:val="21"/>
                <w:highlight w:val="none"/>
                <w:lang w:val="en-US" w:eastAsia="zh-CN"/>
              </w:rPr>
            </w:pPr>
            <w:r>
              <w:rPr>
                <w:rStyle w:val="185"/>
                <w:rFonts w:hint="eastAsia" w:ascii="Times New Roman" w:hAnsi="Times New Roman" w:eastAsia="仿宋_GB2312"/>
                <w:b w:val="0"/>
                <w:bCs w:val="0"/>
                <w:strike w:val="0"/>
                <w:color w:val="auto"/>
                <w:sz w:val="21"/>
                <w:szCs w:val="21"/>
                <w:highlight w:val="none"/>
                <w:lang w:val="en-US" w:eastAsia="zh-CN"/>
              </w:rPr>
              <w:t>32</w:t>
            </w:r>
          </w:p>
        </w:tc>
        <w:tc>
          <w:tcPr>
            <w:tcW w:w="898" w:type="pct"/>
            <w:noWrap w:val="0"/>
            <w:vAlign w:val="center"/>
          </w:tcPr>
          <w:p w14:paraId="337F9D83">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lang w:val="en-US" w:eastAsia="zh-CN"/>
              </w:rPr>
              <w:t>特种设备使用单位有</w:t>
            </w:r>
            <w:r>
              <w:rPr>
                <w:rStyle w:val="185"/>
                <w:rFonts w:hint="eastAsia" w:ascii="Times New Roman" w:hAnsi="Times New Roman" w:eastAsia="仿宋_GB2312" w:cs="仿宋_GB2312"/>
                <w:strike w:val="0"/>
                <w:color w:val="auto"/>
                <w:sz w:val="21"/>
                <w:szCs w:val="21"/>
                <w:highlight w:val="none"/>
              </w:rPr>
              <w:t>未按照规定办理使用登记</w:t>
            </w:r>
            <w:r>
              <w:rPr>
                <w:rStyle w:val="185"/>
                <w:rFonts w:hint="eastAsia" w:ascii="Times New Roman" w:hAnsi="Times New Roman" w:eastAsia="仿宋_GB2312" w:cs="仿宋_GB2312"/>
                <w:strike w:val="0"/>
                <w:color w:val="auto"/>
                <w:sz w:val="21"/>
                <w:szCs w:val="21"/>
                <w:highlight w:val="none"/>
                <w:lang w:val="en-US" w:eastAsia="zh-CN"/>
              </w:rPr>
              <w:t>的</w:t>
            </w:r>
          </w:p>
        </w:tc>
        <w:tc>
          <w:tcPr>
            <w:tcW w:w="789" w:type="pct"/>
            <w:noWrap w:val="0"/>
            <w:vAlign w:val="center"/>
          </w:tcPr>
          <w:p w14:paraId="7CA7261D">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33678211">
            <w:pPr>
              <w:keepNext w:val="0"/>
              <w:keepLines w:val="0"/>
              <w:pageBreakBefore w:val="0"/>
              <w:widowControl/>
              <w:spacing w:line="280" w:lineRule="exact"/>
              <w:jc w:val="lef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《中华人民共和国特种设备安全法》</w:t>
            </w:r>
            <w:r>
              <w:rPr>
                <w:rStyle w:val="185"/>
                <w:rFonts w:hint="eastAsia" w:ascii="Times New Roman" w:hAnsi="Times New Roman" w:eastAsia="仿宋_GB2312" w:cs="仿宋_GB2312"/>
                <w:strike w:val="0"/>
                <w:color w:val="auto"/>
                <w:sz w:val="21"/>
                <w:szCs w:val="21"/>
                <w:highlight w:val="none"/>
              </w:rPr>
              <w:t>第八十三条</w:t>
            </w:r>
            <w:r>
              <w:rPr>
                <w:rStyle w:val="185"/>
                <w:rFonts w:hint="eastAsia" w:ascii="Times New Roman" w:hAnsi="Times New Roman" w:eastAsia="仿宋_GB2312" w:cs="仿宋_GB2312"/>
                <w:strike w:val="0"/>
                <w:color w:val="auto"/>
                <w:sz w:val="21"/>
                <w:szCs w:val="21"/>
                <w:highlight w:val="none"/>
                <w:lang w:eastAsia="zh-CN"/>
              </w:rPr>
              <w:t>第（一）项</w:t>
            </w:r>
            <w:r>
              <w:rPr>
                <w:rStyle w:val="185"/>
                <w:rFonts w:hint="eastAsia" w:ascii="Times New Roman" w:hAnsi="Times New Roman" w:eastAsia="仿宋_GB2312" w:cs="仿宋_GB2312"/>
                <w:strike w:val="0"/>
                <w:color w:val="auto"/>
                <w:sz w:val="21"/>
                <w:szCs w:val="21"/>
                <w:highlight w:val="none"/>
              </w:rPr>
              <w:t xml:space="preserve"> </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违反本法规定，特种设备使用单位有下列行为之一的，责令限期改正；逾期未改正的，责令停止使用有关特种设备，处一万元以上十万元以下罚款：</w:t>
            </w:r>
          </w:p>
          <w:p w14:paraId="6A47D282">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rPr>
              <w:t>（一）使用特种设备未按照规定办理使用登记的；</w:t>
            </w:r>
          </w:p>
        </w:tc>
      </w:tr>
      <w:tr w14:paraId="1DE4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0" w:hRule="atLeast"/>
          <w:jc w:val="center"/>
        </w:trPr>
        <w:tc>
          <w:tcPr>
            <w:tcW w:w="307" w:type="pct"/>
            <w:noWrap w:val="0"/>
            <w:vAlign w:val="center"/>
          </w:tcPr>
          <w:p w14:paraId="03D8218F">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33</w:t>
            </w:r>
          </w:p>
        </w:tc>
        <w:tc>
          <w:tcPr>
            <w:tcW w:w="898" w:type="pct"/>
            <w:noWrap w:val="0"/>
            <w:vAlign w:val="center"/>
          </w:tcPr>
          <w:p w14:paraId="16F55265">
            <w:pPr>
              <w:keepNext w:val="0"/>
              <w:keepLines w:val="0"/>
              <w:pageBreakBefore w:val="0"/>
              <w:widowControl/>
              <w:spacing w:line="280" w:lineRule="exact"/>
              <w:jc w:val="left"/>
              <w:rPr>
                <w:rStyle w:val="185"/>
                <w:rFonts w:hint="eastAsia" w:ascii="Times New Roman" w:hAnsi="Times New Roman" w:eastAsia="仿宋_GB2312" w:cs="仿宋_GB2312"/>
                <w:strike w:val="0"/>
                <w:color w:val="auto"/>
                <w:sz w:val="21"/>
                <w:szCs w:val="21"/>
                <w:highlight w:val="none"/>
                <w:lang w:val="en-US" w:eastAsia="zh-CN"/>
              </w:rPr>
            </w:pPr>
            <w:r>
              <w:rPr>
                <w:rStyle w:val="185"/>
                <w:rFonts w:hint="eastAsia" w:ascii="Times New Roman" w:hAnsi="Times New Roman" w:eastAsia="仿宋_GB2312" w:cs="仿宋_GB2312"/>
                <w:b w:val="0"/>
                <w:bCs w:val="0"/>
                <w:color w:val="auto"/>
                <w:sz w:val="21"/>
                <w:szCs w:val="21"/>
                <w:highlight w:val="none"/>
              </w:rPr>
              <w:t>特种设备生产、经营、使用单位</w:t>
            </w:r>
            <w:r>
              <w:rPr>
                <w:rStyle w:val="185"/>
                <w:rFonts w:hint="eastAsia" w:ascii="Times New Roman" w:hAnsi="Times New Roman" w:eastAsia="仿宋_GB2312" w:cs="仿宋_GB2312"/>
                <w:b w:val="0"/>
                <w:bCs w:val="0"/>
                <w:color w:val="auto"/>
                <w:sz w:val="21"/>
                <w:szCs w:val="21"/>
                <w:highlight w:val="none"/>
                <w:lang w:eastAsia="zh-CN"/>
              </w:rPr>
              <w:t>有未配备具有相应资格特种设备安全管理人员等违法行为的</w:t>
            </w:r>
          </w:p>
        </w:tc>
        <w:tc>
          <w:tcPr>
            <w:tcW w:w="789" w:type="pct"/>
            <w:noWrap w:val="0"/>
            <w:vAlign w:val="center"/>
          </w:tcPr>
          <w:p w14:paraId="66699151">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11E32703">
            <w:pPr>
              <w:keepNext w:val="0"/>
              <w:keepLines w:val="0"/>
              <w:pageBreakBefore w:val="0"/>
              <w:widowControl/>
              <w:spacing w:line="280" w:lineRule="exact"/>
              <w:jc w:val="left"/>
              <w:rPr>
                <w:rStyle w:val="185"/>
                <w:rFonts w:hint="eastAsia" w:ascii="Times New Roman" w:hAnsi="Times New Roman" w:eastAsia="仿宋_GB2312" w:cs="仿宋_GB2312"/>
                <w:b w:val="0"/>
                <w:bCs w:val="0"/>
                <w:color w:val="auto"/>
                <w:sz w:val="21"/>
                <w:szCs w:val="21"/>
                <w:highlight w:val="none"/>
              </w:rPr>
            </w:pPr>
            <w:r>
              <w:rPr>
                <w:rStyle w:val="185"/>
                <w:rFonts w:hint="eastAsia" w:ascii="Times New Roman" w:hAnsi="Times New Roman" w:eastAsia="仿宋_GB2312" w:cs="仿宋_GB2312"/>
                <w:b/>
                <w:bCs/>
                <w:color w:val="auto"/>
                <w:sz w:val="21"/>
                <w:szCs w:val="21"/>
                <w:highlight w:val="none"/>
              </w:rPr>
              <w:t>《中华人民共和国特种设备安全法》</w:t>
            </w:r>
            <w:r>
              <w:rPr>
                <w:rStyle w:val="185"/>
                <w:rFonts w:hint="eastAsia" w:ascii="Times New Roman" w:hAnsi="Times New Roman" w:eastAsia="仿宋_GB2312" w:cs="仿宋_GB2312"/>
                <w:b w:val="0"/>
                <w:bCs w:val="0"/>
                <w:color w:val="auto"/>
                <w:sz w:val="21"/>
                <w:szCs w:val="21"/>
                <w:highlight w:val="none"/>
              </w:rPr>
              <w:t xml:space="preserve">第八十六条 </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违反本法规定，特种设备生产、经营、使用单位有下列情形之一的，责令限期改正；逾期未改正的，责令停止使用有关特种设备或者停产停业整顿，处一万元以上五万元以下罚款：（一）未配备具有相应资格的特种设备安全管理人员、检测人员和作业人员的；（二）使用未取得相应资格的人员从事特种设备安全管理、检测和作业的；（三）未对特种设备安全管理人员、检测人员和作业人员进行安全教育和技能培训的。</w:t>
            </w:r>
          </w:p>
          <w:p w14:paraId="4356BC40">
            <w:pPr>
              <w:keepNext w:val="0"/>
              <w:keepLines w:val="0"/>
              <w:pageBreakBefore w:val="0"/>
              <w:widowControl/>
              <w:spacing w:line="280" w:lineRule="exact"/>
              <w:jc w:val="left"/>
              <w:rPr>
                <w:rStyle w:val="185"/>
                <w:rFonts w:hint="eastAsia" w:ascii="Times New Roman" w:hAnsi="Times New Roman" w:eastAsia="仿宋_GB2312" w:cs="仿宋_GB2312"/>
                <w:strike w:val="0"/>
                <w:color w:val="auto"/>
                <w:sz w:val="21"/>
                <w:szCs w:val="21"/>
                <w:highlight w:val="none"/>
              </w:rPr>
            </w:pPr>
            <w:r>
              <w:rPr>
                <w:rStyle w:val="185"/>
                <w:rFonts w:hint="eastAsia" w:ascii="Times New Roman" w:hAnsi="Times New Roman" w:eastAsia="仿宋_GB2312" w:cs="仿宋_GB2312"/>
                <w:b w:val="0"/>
                <w:bCs w:val="0"/>
                <w:color w:val="auto"/>
                <w:sz w:val="21"/>
                <w:szCs w:val="21"/>
                <w:highlight w:val="none"/>
              </w:rPr>
              <w:t>第十三条</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 xml:space="preserve"> 特种设备生产、经营、使用单位及其主要负责人对其生产、经营、使用的特种设备安全负责。特种设备生产、经营、使用单位应当按照国家有关规定配备特种设备安全管理人员、检测人员和作业人员，并对其进行必要的安全教育和技能培训。</w:t>
            </w:r>
          </w:p>
        </w:tc>
      </w:tr>
      <w:tr w14:paraId="4470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9" w:hRule="atLeast"/>
          <w:jc w:val="center"/>
        </w:trPr>
        <w:tc>
          <w:tcPr>
            <w:tcW w:w="307" w:type="pct"/>
            <w:noWrap w:val="0"/>
            <w:vAlign w:val="center"/>
          </w:tcPr>
          <w:p w14:paraId="6E055BEE">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34</w:t>
            </w:r>
          </w:p>
        </w:tc>
        <w:tc>
          <w:tcPr>
            <w:tcW w:w="898" w:type="pct"/>
            <w:noWrap w:val="0"/>
            <w:vAlign w:val="center"/>
          </w:tcPr>
          <w:p w14:paraId="5F6B2A28">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rPr>
              <w:t>电梯、客运索道、大型游乐设施的运营使用单位</w:t>
            </w:r>
            <w:r>
              <w:rPr>
                <w:rStyle w:val="185"/>
                <w:rFonts w:hint="eastAsia" w:ascii="Times New Roman" w:hAnsi="Times New Roman" w:eastAsia="仿宋_GB2312" w:cs="仿宋_GB2312"/>
                <w:b w:val="0"/>
                <w:bCs w:val="0"/>
                <w:color w:val="auto"/>
                <w:sz w:val="21"/>
                <w:szCs w:val="21"/>
                <w:highlight w:val="none"/>
                <w:lang w:eastAsia="zh-CN"/>
              </w:rPr>
              <w:t>有</w:t>
            </w:r>
            <w:r>
              <w:rPr>
                <w:rStyle w:val="185"/>
                <w:rFonts w:hint="eastAsia" w:ascii="Times New Roman" w:hAnsi="Times New Roman" w:eastAsia="仿宋_GB2312" w:cs="仿宋_GB2312"/>
                <w:b w:val="0"/>
                <w:bCs w:val="0"/>
                <w:color w:val="auto"/>
                <w:sz w:val="21"/>
                <w:szCs w:val="21"/>
                <w:highlight w:val="none"/>
              </w:rPr>
              <w:t>未设置特种设备安全管理机构或者配备专职的特种设备安全管理人员</w:t>
            </w:r>
            <w:r>
              <w:rPr>
                <w:rStyle w:val="185"/>
                <w:rFonts w:hint="eastAsia" w:ascii="Times New Roman" w:hAnsi="Times New Roman" w:eastAsia="仿宋_GB2312" w:cs="仿宋_GB2312"/>
                <w:b w:val="0"/>
                <w:bCs w:val="0"/>
                <w:color w:val="auto"/>
                <w:sz w:val="21"/>
                <w:szCs w:val="21"/>
                <w:highlight w:val="none"/>
                <w:lang w:eastAsia="zh-CN"/>
              </w:rPr>
              <w:t>等违法行为的</w:t>
            </w:r>
          </w:p>
        </w:tc>
        <w:tc>
          <w:tcPr>
            <w:tcW w:w="789" w:type="pct"/>
            <w:noWrap w:val="0"/>
            <w:vAlign w:val="center"/>
          </w:tcPr>
          <w:p w14:paraId="0E476FB5">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43905061">
            <w:pPr>
              <w:keepNext w:val="0"/>
              <w:keepLines w:val="0"/>
              <w:pageBreakBefore w:val="0"/>
              <w:widowControl/>
              <w:spacing w:line="280" w:lineRule="exact"/>
              <w:jc w:val="left"/>
              <w:rPr>
                <w:rStyle w:val="185"/>
                <w:rFonts w:hint="eastAsia" w:ascii="Times New Roman" w:hAnsi="Times New Roman" w:eastAsia="仿宋_GB2312" w:cs="仿宋_GB2312"/>
                <w:b w:val="0"/>
                <w:bCs w:val="0"/>
                <w:color w:val="auto"/>
                <w:sz w:val="21"/>
                <w:szCs w:val="21"/>
                <w:highlight w:val="none"/>
              </w:rPr>
            </w:pPr>
            <w:r>
              <w:rPr>
                <w:rStyle w:val="185"/>
                <w:rFonts w:hint="eastAsia" w:ascii="Times New Roman" w:hAnsi="Times New Roman" w:eastAsia="仿宋_GB2312" w:cs="仿宋_GB2312"/>
                <w:b/>
                <w:bCs/>
                <w:color w:val="auto"/>
                <w:sz w:val="21"/>
                <w:szCs w:val="21"/>
                <w:highlight w:val="none"/>
              </w:rPr>
              <w:t>《中华人民共和国特种设备安全法》</w:t>
            </w:r>
            <w:r>
              <w:rPr>
                <w:rStyle w:val="185"/>
                <w:rFonts w:hint="eastAsia" w:ascii="Times New Roman" w:hAnsi="Times New Roman" w:eastAsia="仿宋_GB2312" w:cs="仿宋_GB2312"/>
                <w:b w:val="0"/>
                <w:bCs w:val="0"/>
                <w:color w:val="auto"/>
                <w:sz w:val="21"/>
                <w:szCs w:val="21"/>
                <w:highlight w:val="none"/>
              </w:rPr>
              <w:t>第三十六条 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第四十三条 客运索道、大型游乐设施在每日投入使用前，其运营使用单位应当进行试运行和例行安全检查，并对安全附件和安全保护装置进行检查确认。电梯、客运索道、大型游乐设施的运营使用单位应当将电梯、客运索道、大型游乐设施的安全使用说明、安全注意事项和警示标志置于易于为乘客注意的显著位置。公众乘坐或者操作电梯、客运索道、大型游乐设施，应当遵守安全使用说明和安全注意事项的要求，服从有关工作人员的管理和指挥；遇有运行不正常时，应当按照安全指引，有序撤离。</w:t>
            </w:r>
          </w:p>
          <w:p w14:paraId="54A06B9F">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rPr>
              <w:t xml:space="preserve">第八十七条 </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违反本法规定，电梯、客运索道、大型游乐设施的运营使用单位有下列情形之一的，责令限期改正；逾期未改正的，责令停止使用有关特种设备或者停产停业整顿，处二万元以上十万元以下罚款：（一）未设置特种设备安全管理机构或者配备专职的特种设备安全管理人员的；（二）客运索道、大型游乐设施每日投入使用前，未进行试运行和例行安全检查，未对安全附件和安全保护装置进行检查确认的；（三）未将电梯、客运索道、大型游乐设施的安全使用说明、安全注意事项和警示标志置于易于为乘客注意的显著位置的。</w:t>
            </w:r>
          </w:p>
        </w:tc>
      </w:tr>
      <w:tr w14:paraId="1198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jc w:val="center"/>
        </w:trPr>
        <w:tc>
          <w:tcPr>
            <w:tcW w:w="307" w:type="pct"/>
            <w:noWrap w:val="0"/>
            <w:vAlign w:val="center"/>
          </w:tcPr>
          <w:p w14:paraId="654B4E07">
            <w:pPr>
              <w:widowControl/>
              <w:spacing w:line="280" w:lineRule="exact"/>
              <w:jc w:val="center"/>
              <w:rPr>
                <w:rFonts w:hint="eastAsia"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35</w:t>
            </w:r>
          </w:p>
        </w:tc>
        <w:tc>
          <w:tcPr>
            <w:tcW w:w="898" w:type="pct"/>
            <w:noWrap w:val="0"/>
            <w:vAlign w:val="center"/>
          </w:tcPr>
          <w:p w14:paraId="3222F8A2">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lang w:eastAsia="zh-CN"/>
              </w:rPr>
              <w:t>特种设备使用单位未依照规定对电梯进行清洁、润滑、调整和检查，或特种设备不符合能效指标，未及时采取相应措施进行整改的</w:t>
            </w:r>
          </w:p>
        </w:tc>
        <w:tc>
          <w:tcPr>
            <w:tcW w:w="789" w:type="pct"/>
            <w:noWrap w:val="0"/>
            <w:vAlign w:val="center"/>
          </w:tcPr>
          <w:p w14:paraId="03B1581D">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29FC1F1E">
            <w:pPr>
              <w:keepNext w:val="0"/>
              <w:keepLines w:val="0"/>
              <w:pageBreakBefore w:val="0"/>
              <w:widowControl/>
              <w:spacing w:line="280" w:lineRule="exact"/>
              <w:jc w:val="left"/>
              <w:rPr>
                <w:rStyle w:val="185"/>
                <w:rFonts w:hint="eastAsia" w:ascii="Times New Roman" w:hAnsi="Times New Roman" w:eastAsia="仿宋_GB2312" w:cs="仿宋_GB2312"/>
                <w:b w:val="0"/>
                <w:bCs w:val="0"/>
                <w:color w:val="auto"/>
                <w:sz w:val="21"/>
                <w:szCs w:val="21"/>
                <w:highlight w:val="none"/>
              </w:rPr>
            </w:pPr>
            <w:r>
              <w:rPr>
                <w:rStyle w:val="185"/>
                <w:rFonts w:hint="eastAsia" w:ascii="Times New Roman" w:hAnsi="Times New Roman" w:eastAsia="仿宋_GB2312" w:cs="仿宋_GB2312"/>
                <w:b/>
                <w:bCs/>
                <w:color w:val="auto"/>
                <w:sz w:val="21"/>
                <w:szCs w:val="21"/>
                <w:highlight w:val="none"/>
                <w:lang w:eastAsia="zh-CN"/>
              </w:rPr>
              <w:t>《特种设备安全监察条例》</w:t>
            </w:r>
            <w:r>
              <w:rPr>
                <w:rStyle w:val="185"/>
                <w:rFonts w:hint="eastAsia" w:ascii="Times New Roman" w:hAnsi="Times New Roman" w:eastAsia="仿宋_GB2312" w:cs="仿宋_GB2312"/>
                <w:b w:val="0"/>
                <w:bCs w:val="0"/>
                <w:color w:val="auto"/>
                <w:sz w:val="21"/>
                <w:szCs w:val="21"/>
                <w:highlight w:val="none"/>
              </w:rPr>
              <w:t>第二十九条</w:t>
            </w:r>
            <w:r>
              <w:rPr>
                <w:rStyle w:val="185"/>
                <w:rFonts w:hint="eastAsia" w:ascii="Times New Roman" w:hAnsi="Times New Roman" w:eastAsia="仿宋_GB2312" w:cs="仿宋_GB2312"/>
                <w:b w:val="0"/>
                <w:bCs w:val="0"/>
                <w:color w:val="auto"/>
                <w:sz w:val="21"/>
                <w:szCs w:val="21"/>
                <w:highlight w:val="none"/>
                <w:lang w:eastAsia="zh-CN"/>
              </w:rPr>
              <w:t>第二款</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特种设备不符合能效指标的，特种设备使用单位应当采取相应措施进行整改。第三十一条</w:t>
            </w:r>
            <w:r>
              <w:rPr>
                <w:rStyle w:val="185"/>
                <w:rFonts w:hint="eastAsia" w:ascii="Times New Roman" w:hAnsi="Times New Roman" w:eastAsia="仿宋_GB2312" w:cs="仿宋_GB2312"/>
                <w:b w:val="0"/>
                <w:bCs w:val="0"/>
                <w:color w:val="auto"/>
                <w:sz w:val="21"/>
                <w:szCs w:val="21"/>
                <w:highlight w:val="none"/>
                <w:lang w:eastAsia="zh-CN"/>
              </w:rPr>
              <w:t>第二款</w:t>
            </w:r>
            <w:r>
              <w:rPr>
                <w:rStyle w:val="185"/>
                <w:rFonts w:hint="eastAsia" w:ascii="Times New Roman" w:hAnsi="Times New Roman" w:eastAsia="仿宋_GB2312" w:cs="仿宋_GB2312"/>
                <w:b w:val="0"/>
                <w:bCs w:val="0"/>
                <w:color w:val="auto"/>
                <w:sz w:val="21"/>
                <w:szCs w:val="21"/>
                <w:highlight w:val="none"/>
              </w:rPr>
              <w:t>  电梯应当至少每15日进行一次清洁、润滑、调整和检查。</w:t>
            </w:r>
          </w:p>
          <w:p w14:paraId="71EEECFF">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lang w:eastAsia="zh-CN"/>
              </w:rPr>
              <w:t>第八十三条第一款</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lang w:eastAsia="zh-CN"/>
              </w:rPr>
              <w:t>特种设备使用单位有下列情形之一的，由特种设备安全监督管理部门责令限期改正；逾期未改正的，处2000元以上2万元以下罚款；情节严重的，责令停止使用或者停产停业整顿：（八）未依照本条例第三十一条第二款的规定，对电梯进行清洁、润滑、调整和检查的；（十）特种设备不符合能效指标，未及时采取相应措施进行整改的。</w:t>
            </w:r>
          </w:p>
        </w:tc>
      </w:tr>
      <w:tr w14:paraId="30B9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307" w:type="pct"/>
            <w:noWrap w:val="0"/>
            <w:vAlign w:val="center"/>
          </w:tcPr>
          <w:p w14:paraId="2D4AD63E">
            <w:pPr>
              <w:widowControl/>
              <w:spacing w:line="280" w:lineRule="exact"/>
              <w:jc w:val="center"/>
              <w:rPr>
                <w:rFonts w:hint="eastAsia"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36</w:t>
            </w:r>
          </w:p>
        </w:tc>
        <w:tc>
          <w:tcPr>
            <w:tcW w:w="898" w:type="pct"/>
            <w:noWrap w:val="0"/>
            <w:vAlign w:val="center"/>
          </w:tcPr>
          <w:p w14:paraId="5D27901E">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lang w:eastAsia="zh-CN"/>
              </w:rPr>
              <w:t>特种设备作业人员考试机构未按规定程序组织考试工作的</w:t>
            </w:r>
          </w:p>
        </w:tc>
        <w:tc>
          <w:tcPr>
            <w:tcW w:w="789" w:type="pct"/>
            <w:noWrap w:val="0"/>
            <w:vAlign w:val="center"/>
          </w:tcPr>
          <w:p w14:paraId="45A153ED">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63A3456A">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bCs/>
                <w:color w:val="auto"/>
                <w:sz w:val="21"/>
                <w:szCs w:val="21"/>
                <w:highlight w:val="none"/>
                <w:lang w:eastAsia="zh-CN"/>
              </w:rPr>
              <w:t>《特种设备作业人员监督管理办法》</w:t>
            </w:r>
            <w:r>
              <w:rPr>
                <w:rStyle w:val="185"/>
                <w:rFonts w:hint="eastAsia" w:ascii="Times New Roman" w:hAnsi="Times New Roman" w:eastAsia="仿宋_GB2312" w:cs="仿宋_GB2312"/>
                <w:b w:val="0"/>
                <w:bCs w:val="0"/>
                <w:color w:val="auto"/>
                <w:sz w:val="21"/>
                <w:szCs w:val="21"/>
                <w:highlight w:val="none"/>
                <w:lang w:eastAsia="zh-CN"/>
              </w:rPr>
              <w:t>第三十四条</w:t>
            </w:r>
            <w:r>
              <w:rPr>
                <w:rStyle w:val="185"/>
                <w:rFonts w:hint="eastAsia" w:ascii="Times New Roman" w:hAnsi="Times New Roman" w:eastAsia="仿宋_GB2312" w:cs="仿宋_GB2312"/>
                <w:b w:val="0"/>
                <w:bCs w:val="0"/>
                <w:color w:val="auto"/>
                <w:sz w:val="21"/>
                <w:szCs w:val="21"/>
                <w:highlight w:val="none"/>
                <w:lang w:val="en-US" w:eastAsia="zh-CN"/>
              </w:rPr>
              <w:t xml:space="preserve">  考试机构未按规定程序组织考试工作，责令整改；情节严重的，暂停或撤销其批准。</w:t>
            </w:r>
          </w:p>
        </w:tc>
      </w:tr>
      <w:tr w14:paraId="710B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307" w:type="pct"/>
            <w:noWrap w:val="0"/>
            <w:vAlign w:val="center"/>
          </w:tcPr>
          <w:p w14:paraId="7CBA3C9F">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37</w:t>
            </w:r>
          </w:p>
        </w:tc>
        <w:tc>
          <w:tcPr>
            <w:tcW w:w="898" w:type="pct"/>
            <w:noWrap w:val="0"/>
            <w:vAlign w:val="center"/>
          </w:tcPr>
          <w:p w14:paraId="1A59BAF6">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集市主办者</w:t>
            </w:r>
            <w:r>
              <w:rPr>
                <w:rFonts w:hint="eastAsia" w:ascii="Times New Roman" w:hAnsi="Times New Roman" w:eastAsia="仿宋_GB2312" w:cs="仿宋_GB2312"/>
                <w:strike w:val="0"/>
                <w:color w:val="auto"/>
                <w:sz w:val="21"/>
                <w:szCs w:val="21"/>
                <w:highlight w:val="none"/>
                <w:lang w:val="en-US" w:eastAsia="zh-CN"/>
              </w:rPr>
              <w:t>未按规定对集市强制检定计量器具登记造册，向当地市场监管部门备案，并配合做好强制检定工作的</w:t>
            </w:r>
          </w:p>
        </w:tc>
        <w:tc>
          <w:tcPr>
            <w:tcW w:w="789" w:type="pct"/>
            <w:noWrap w:val="0"/>
            <w:vAlign w:val="center"/>
          </w:tcPr>
          <w:p w14:paraId="538F18DB">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55BA3B28">
            <w:pPr>
              <w:keepNext w:val="0"/>
              <w:keepLines w:val="0"/>
              <w:pageBreakBefore w:val="0"/>
              <w:widowControl/>
              <w:spacing w:line="280" w:lineRule="exact"/>
              <w:jc w:val="lef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《集贸市场计量监督管理办法》</w:t>
            </w:r>
            <w:r>
              <w:rPr>
                <w:rStyle w:val="185"/>
                <w:rFonts w:hint="eastAsia" w:ascii="Times New Roman" w:hAnsi="Times New Roman" w:eastAsia="仿宋_GB2312" w:cs="仿宋_GB2312"/>
                <w:strike w:val="0"/>
                <w:color w:val="auto"/>
                <w:sz w:val="21"/>
                <w:szCs w:val="21"/>
                <w:highlight w:val="none"/>
              </w:rPr>
              <w:t>第五条第（四）项  集市主办者应做到：（四）对集市使用的属于强制检定的计量器具登记造册，向当地市场监督管理部门备案，并配合市场监督管理部门及其指定的法定计量检定机构做好强制检定工作。</w:t>
            </w:r>
          </w:p>
          <w:p w14:paraId="3BC17F64">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rPr>
              <w:t>第十一条第一款：集市主办者违反本办法第五条第（四）项规定的，责令改正，逾期不改的，处以1000元以下的罚款。</w:t>
            </w:r>
          </w:p>
        </w:tc>
      </w:tr>
      <w:tr w14:paraId="42DE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jc w:val="center"/>
        </w:trPr>
        <w:tc>
          <w:tcPr>
            <w:tcW w:w="307" w:type="pct"/>
            <w:noWrap w:val="0"/>
            <w:vAlign w:val="center"/>
          </w:tcPr>
          <w:p w14:paraId="588E3F6A">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38</w:t>
            </w:r>
          </w:p>
        </w:tc>
        <w:tc>
          <w:tcPr>
            <w:tcW w:w="898" w:type="pct"/>
            <w:noWrap w:val="0"/>
            <w:vAlign w:val="center"/>
          </w:tcPr>
          <w:p w14:paraId="0C084434">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经营者应当使用计量器具测量量值而未使用计量器具的</w:t>
            </w:r>
          </w:p>
        </w:tc>
        <w:tc>
          <w:tcPr>
            <w:tcW w:w="789" w:type="pct"/>
            <w:noWrap w:val="0"/>
            <w:vAlign w:val="center"/>
          </w:tcPr>
          <w:p w14:paraId="1D9C7E87">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08E6A69C">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4"/>
                <w:rFonts w:hint="eastAsia" w:ascii="Times New Roman" w:hAnsi="Times New Roman" w:eastAsia="仿宋_GB2312" w:cs="仿宋_GB2312"/>
                <w:strike w:val="0"/>
                <w:color w:val="auto"/>
                <w:sz w:val="21"/>
                <w:szCs w:val="21"/>
                <w:highlight w:val="none"/>
              </w:rPr>
              <w:t>《集贸市场计量监督管理办法》</w:t>
            </w:r>
            <w:r>
              <w:rPr>
                <w:rStyle w:val="185"/>
                <w:rFonts w:hint="eastAsia" w:ascii="Times New Roman" w:hAnsi="Times New Roman" w:eastAsia="仿宋_GB2312" w:cs="仿宋_GB2312"/>
                <w:strike w:val="0"/>
                <w:color w:val="auto"/>
                <w:sz w:val="21"/>
                <w:szCs w:val="21"/>
                <w:highlight w:val="none"/>
              </w:rPr>
              <w:t xml:space="preserve">第六条第（四）项 </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经营者应当做到：（四）凡以商品量的量值作为结算依据的，应当使用计量器具测量量值；计量偏差在国家规定的范围内，结算值与实际值相符。不得估量计费。不具备计量条件并经交易当事人同意的除外。第十二条第三款：经营者违反本办法第六条第（四）项规定，应当使用计量器具测量量值而未使用计量器具的，限期改正；逾期不改的，处以1000元以下罚款。经营者销售商品的结算值与实际值不相符的，按照《商品量计量违法行为处罚规定》第五条、第六条的规定处罚。</w:t>
            </w:r>
          </w:p>
        </w:tc>
      </w:tr>
      <w:tr w14:paraId="0A0C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307" w:type="pct"/>
            <w:noWrap w:val="0"/>
            <w:vAlign w:val="center"/>
          </w:tcPr>
          <w:p w14:paraId="48DA51E2">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39</w:t>
            </w:r>
          </w:p>
        </w:tc>
        <w:tc>
          <w:tcPr>
            <w:tcW w:w="898" w:type="pct"/>
            <w:noWrap w:val="0"/>
            <w:vAlign w:val="center"/>
          </w:tcPr>
          <w:p w14:paraId="73BA1ABA">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 xml:space="preserve">重点用能单位未按照规定配备能源计量工作人员或者能源计量工作人员未接受能源计量专业知识培训的 </w:t>
            </w:r>
          </w:p>
        </w:tc>
        <w:tc>
          <w:tcPr>
            <w:tcW w:w="789" w:type="pct"/>
            <w:noWrap w:val="0"/>
            <w:vAlign w:val="center"/>
          </w:tcPr>
          <w:p w14:paraId="79DDE1AD">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20237078">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4"/>
                <w:rFonts w:hint="eastAsia" w:ascii="Times New Roman" w:hAnsi="Times New Roman" w:eastAsia="仿宋_GB2312" w:cs="仿宋_GB2312"/>
                <w:strike w:val="0"/>
                <w:color w:val="auto"/>
                <w:sz w:val="21"/>
                <w:szCs w:val="21"/>
                <w:highlight w:val="none"/>
              </w:rPr>
              <w:t>《能源计量监督管理办法》</w:t>
            </w:r>
            <w:r>
              <w:rPr>
                <w:rStyle w:val="185"/>
                <w:rFonts w:hint="eastAsia" w:ascii="Times New Roman" w:hAnsi="Times New Roman" w:eastAsia="仿宋_GB2312" w:cs="仿宋_GB2312"/>
                <w:strike w:val="0"/>
                <w:color w:val="auto"/>
                <w:sz w:val="21"/>
                <w:szCs w:val="21"/>
                <w:highlight w:val="none"/>
              </w:rPr>
              <w:t>第十二条：重点用能单位应当配备专业人员从事能源计量工作。重点用能单位的能源计量工作人员应当具有能源计量专业知识，定期接受能源计量专业知识培训。第十九条：违反本办法规定，重点用能单位未按照规定配备能源计量工作人员或者能源计量工作人员未接受能源计量专业知识培训的，由县级以上地方市场监督管理部门责令限期改正；逾期不改正的，处1万元以上3万元以下罚款。</w:t>
            </w:r>
          </w:p>
        </w:tc>
      </w:tr>
      <w:tr w14:paraId="0E1F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3" w:hRule="atLeast"/>
          <w:jc w:val="center"/>
        </w:trPr>
        <w:tc>
          <w:tcPr>
            <w:tcW w:w="307" w:type="pct"/>
            <w:noWrap w:val="0"/>
            <w:vAlign w:val="center"/>
          </w:tcPr>
          <w:p w14:paraId="751C9CD5">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40</w:t>
            </w:r>
          </w:p>
        </w:tc>
        <w:tc>
          <w:tcPr>
            <w:tcW w:w="898" w:type="pct"/>
            <w:noWrap w:val="0"/>
            <w:vAlign w:val="center"/>
          </w:tcPr>
          <w:p w14:paraId="50E9EEC5">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加油站经营者未使用计量器具或成品油零售量的结算值与实际值之差超过国家规定允许误差且未给消费者造成损失的</w:t>
            </w:r>
          </w:p>
        </w:tc>
        <w:tc>
          <w:tcPr>
            <w:tcW w:w="789" w:type="pct"/>
            <w:noWrap w:val="0"/>
            <w:vAlign w:val="center"/>
          </w:tcPr>
          <w:p w14:paraId="5AA40F53">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62ADED62">
            <w:pPr>
              <w:keepNext w:val="0"/>
              <w:keepLines w:val="0"/>
              <w:pageBreakBefore w:val="0"/>
              <w:widowControl/>
              <w:spacing w:line="280" w:lineRule="exact"/>
              <w:jc w:val="left"/>
              <w:rPr>
                <w:rStyle w:val="187"/>
                <w:rFonts w:hint="eastAsia" w:ascii="Times New Roman" w:hAnsi="Times New Roman" w:eastAsia="仿宋_GB2312" w:cs="仿宋_GB2312"/>
                <w:strike w:val="0"/>
                <w:color w:val="auto"/>
                <w:sz w:val="21"/>
                <w:szCs w:val="21"/>
                <w:highlight w:val="none"/>
              </w:rPr>
            </w:pPr>
            <w:r>
              <w:rPr>
                <w:rStyle w:val="186"/>
                <w:rFonts w:hint="eastAsia" w:ascii="Times New Roman" w:hAnsi="Times New Roman" w:eastAsia="仿宋_GB2312" w:cs="仿宋_GB2312"/>
                <w:strike w:val="0"/>
                <w:color w:val="auto"/>
                <w:sz w:val="21"/>
                <w:szCs w:val="21"/>
                <w:highlight w:val="none"/>
              </w:rPr>
              <w:t>《加油站计量监督管理办法》</w:t>
            </w:r>
            <w:r>
              <w:rPr>
                <w:rStyle w:val="187"/>
                <w:rFonts w:hint="eastAsia" w:ascii="Times New Roman" w:hAnsi="Times New Roman" w:eastAsia="仿宋_GB2312" w:cs="仿宋_GB2312"/>
                <w:strike w:val="0"/>
                <w:color w:val="auto"/>
                <w:sz w:val="21"/>
                <w:szCs w:val="21"/>
                <w:highlight w:val="none"/>
              </w:rPr>
              <w:t>第五条第（八）项：加油站经营者应当遵守以下规定：（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p>
          <w:p w14:paraId="33EED9FC">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7"/>
                <w:rFonts w:hint="eastAsia" w:ascii="Times New Roman" w:hAnsi="Times New Roman" w:eastAsia="仿宋_GB2312" w:cs="仿宋_GB2312"/>
                <w:strike w:val="0"/>
                <w:color w:val="auto"/>
                <w:sz w:val="21"/>
                <w:szCs w:val="21"/>
                <w:highlight w:val="none"/>
              </w:rPr>
              <w:t>第九条第四项：加油站经营者违反本办法有关规定，应当按以下规定进行处罚：（四）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r>
      <w:tr w14:paraId="1335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3" w:hRule="atLeast"/>
          <w:jc w:val="center"/>
        </w:trPr>
        <w:tc>
          <w:tcPr>
            <w:tcW w:w="307" w:type="pct"/>
            <w:noWrap w:val="0"/>
            <w:vAlign w:val="center"/>
          </w:tcPr>
          <w:p w14:paraId="313FEEE4">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41</w:t>
            </w:r>
          </w:p>
        </w:tc>
        <w:tc>
          <w:tcPr>
            <w:tcW w:w="898" w:type="pct"/>
            <w:noWrap w:val="0"/>
            <w:vAlign w:val="center"/>
          </w:tcPr>
          <w:p w14:paraId="60A64BB3">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生产、销售定量包装商品未</w:t>
            </w:r>
            <w:r>
              <w:rPr>
                <w:rFonts w:hint="eastAsia" w:ascii="Times New Roman" w:hAnsi="Times New Roman" w:eastAsia="仿宋_GB2312" w:cs="仿宋_GB2312"/>
                <w:strike w:val="0"/>
                <w:color w:val="auto"/>
                <w:sz w:val="21"/>
                <w:szCs w:val="21"/>
                <w:highlight w:val="none"/>
                <w:lang w:val="en-US" w:eastAsia="zh-CN"/>
              </w:rPr>
              <w:t>正确、清晰地</w:t>
            </w:r>
            <w:r>
              <w:rPr>
                <w:rFonts w:hint="eastAsia" w:ascii="Times New Roman" w:hAnsi="Times New Roman" w:eastAsia="仿宋_GB2312" w:cs="仿宋_GB2312"/>
                <w:strike w:val="0"/>
                <w:color w:val="auto"/>
                <w:sz w:val="21"/>
                <w:szCs w:val="21"/>
                <w:highlight w:val="none"/>
              </w:rPr>
              <w:t>标注净含量的</w:t>
            </w:r>
          </w:p>
        </w:tc>
        <w:tc>
          <w:tcPr>
            <w:tcW w:w="789" w:type="pct"/>
            <w:noWrap w:val="0"/>
            <w:vAlign w:val="center"/>
          </w:tcPr>
          <w:p w14:paraId="4749CD37">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3A9001D3">
            <w:pPr>
              <w:keepNext w:val="0"/>
              <w:keepLines w:val="0"/>
              <w:pageBreakBefore w:val="0"/>
              <w:widowControl/>
              <w:spacing w:line="340" w:lineRule="exact"/>
              <w:jc w:val="lef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《定量包装商品计量监督管理办法》</w:t>
            </w:r>
            <w:r>
              <w:rPr>
                <w:rStyle w:val="185"/>
                <w:rFonts w:hint="eastAsia" w:ascii="Times New Roman" w:hAnsi="Times New Roman" w:eastAsia="仿宋_GB2312" w:cs="仿宋_GB2312"/>
                <w:strike w:val="0"/>
                <w:color w:val="auto"/>
                <w:sz w:val="21"/>
                <w:szCs w:val="21"/>
                <w:highlight w:val="none"/>
              </w:rPr>
              <w:t xml:space="preserve">第五条 </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 xml:space="preserve">定量包装商品的生产者、销售者应当在其商品包装的显著位置正确、清晰地标注定量包装商品的净含量。净含量的标注由“净含量”（中文）、数字和法定计量单位（或者用中文表示的计数单位）三个部分组成。法定计量单位的选择应当符合本办法附件1的规定。以长度、面积、计数单位标注净含量的定量包装商品，可以免于标注“净含量”三个中文字，只标注数字和法定计量单位（或者用中文表示的计数单位）。第六条 </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 xml:space="preserve">定量包装商品净含量标注字符的最小高度应当符合本办法附件2的规定。第七条 </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同一包装内含有多件同种定量包装商品的，应当标注单件定量包装商品的净含量和总件数，或者标注总净含量。同一包装内含有多件不同种定量包装商品的，应当标注各种不同种定量包装商品的单件净含量和各种不同种定量包装商品的件数，或者分别标注各种不同种定量包装商品的总净含量。</w:t>
            </w:r>
          </w:p>
          <w:p w14:paraId="560299A2">
            <w:pPr>
              <w:keepNext w:val="0"/>
              <w:keepLines w:val="0"/>
              <w:pageBreakBefore w:val="0"/>
              <w:widowControl/>
              <w:spacing w:line="34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rPr>
              <w:t xml:space="preserve">第十七条 </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生产、销售定量包装商品违反本办法</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第五条、第六条、第七条规定，未正确、清晰地标注净含量的，由县级以上地方市场监督管理部门责令改正；未标注净含量的，限期改正，处三万元以下罚款。</w:t>
            </w:r>
          </w:p>
        </w:tc>
      </w:tr>
      <w:tr w14:paraId="0E42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2" w:hRule="atLeast"/>
          <w:jc w:val="center"/>
        </w:trPr>
        <w:tc>
          <w:tcPr>
            <w:tcW w:w="307" w:type="pct"/>
            <w:noWrap w:val="0"/>
            <w:vAlign w:val="center"/>
          </w:tcPr>
          <w:p w14:paraId="2F116A36">
            <w:pPr>
              <w:widowControl/>
              <w:spacing w:line="280" w:lineRule="exact"/>
              <w:jc w:val="center"/>
              <w:rPr>
                <w:rFonts w:hint="eastAsia" w:ascii="Times New Roman" w:hAnsi="Times New Roman" w:eastAsia="仿宋_GB2312" w:cs="仿宋_GB2312"/>
                <w:b w:val="0"/>
                <w:bCs w:val="0"/>
                <w:strike w:val="0"/>
                <w:color w:val="auto"/>
                <w:sz w:val="21"/>
                <w:szCs w:val="21"/>
                <w:highlight w:val="none"/>
                <w:lang w:val="en-US" w:eastAsia="zh-CN" w:bidi="ar-SA"/>
              </w:rPr>
            </w:pPr>
            <w:r>
              <w:rPr>
                <w:rFonts w:hint="eastAsia" w:ascii="Times New Roman" w:hAnsi="Times New Roman" w:eastAsia="仿宋_GB2312" w:cs="仿宋_GB2312"/>
                <w:b w:val="0"/>
                <w:bCs w:val="0"/>
                <w:strike w:val="0"/>
                <w:color w:val="auto"/>
                <w:sz w:val="21"/>
                <w:szCs w:val="21"/>
                <w:highlight w:val="none"/>
                <w:lang w:val="en-US" w:eastAsia="zh-CN"/>
              </w:rPr>
              <w:t>42</w:t>
            </w:r>
          </w:p>
        </w:tc>
        <w:tc>
          <w:tcPr>
            <w:tcW w:w="898" w:type="pct"/>
            <w:noWrap w:val="0"/>
            <w:vAlign w:val="center"/>
          </w:tcPr>
          <w:p w14:paraId="461420D7">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列入国家能源效率标识管理产品目录的用能产品未办理能源效率标识备案的</w:t>
            </w:r>
          </w:p>
        </w:tc>
        <w:tc>
          <w:tcPr>
            <w:tcW w:w="789" w:type="pct"/>
            <w:noWrap w:val="0"/>
            <w:vAlign w:val="center"/>
          </w:tcPr>
          <w:p w14:paraId="2AE1F859">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34C45011">
            <w:pPr>
              <w:keepNext w:val="0"/>
              <w:keepLines w:val="0"/>
              <w:pageBreakBefore w:val="0"/>
              <w:widowControl/>
              <w:spacing w:line="340" w:lineRule="exact"/>
              <w:jc w:val="lef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《中华人民共和国节约能源法》</w:t>
            </w:r>
            <w:r>
              <w:rPr>
                <w:rStyle w:val="185"/>
                <w:rFonts w:hint="eastAsia" w:ascii="Times New Roman" w:hAnsi="Times New Roman" w:eastAsia="仿宋_GB2312" w:cs="仿宋_GB2312"/>
                <w:strike w:val="0"/>
                <w:color w:val="auto"/>
                <w:sz w:val="21"/>
                <w:szCs w:val="21"/>
                <w:highlight w:val="none"/>
              </w:rPr>
              <w:t>第十九条第一款  生产者和进口商应当对列入国家能源效率标识管理产品目录的用能产品标注能源效率标识，在产品包装物上或者说明书中予以说明，并按照规定报国务院市场监督管理部门和国务院管理节能工作的部门共同授权的机构备案。</w:t>
            </w:r>
          </w:p>
          <w:p w14:paraId="6E156969">
            <w:pPr>
              <w:keepNext w:val="0"/>
              <w:keepLines w:val="0"/>
              <w:pageBreakBefore w:val="0"/>
              <w:widowControl/>
              <w:spacing w:line="34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rPr>
              <w:t>第七十三条第二款  违反本法规定</w:t>
            </w:r>
            <w:r>
              <w:rPr>
                <w:rStyle w:val="185"/>
                <w:rFonts w:hint="eastAsia" w:eastAsia="仿宋_GB2312" w:cs="仿宋_GB2312"/>
                <w:strike w:val="0"/>
                <w:color w:val="auto"/>
                <w:sz w:val="21"/>
                <w:szCs w:val="21"/>
                <w:highlight w:val="none"/>
                <w:lang w:eastAsia="zh-CN"/>
              </w:rPr>
              <w:t>，</w:t>
            </w:r>
            <w:r>
              <w:rPr>
                <w:rStyle w:val="185"/>
                <w:rFonts w:hint="eastAsia" w:ascii="Times New Roman" w:hAnsi="Times New Roman" w:eastAsia="仿宋_GB2312" w:cs="仿宋_GB2312"/>
                <w:strike w:val="0"/>
                <w:color w:val="auto"/>
                <w:sz w:val="21"/>
                <w:szCs w:val="21"/>
                <w:highlight w:val="none"/>
              </w:rPr>
              <w:t>未办理能源效率标识备案</w:t>
            </w:r>
            <w:r>
              <w:rPr>
                <w:rStyle w:val="185"/>
                <w:rFonts w:hint="eastAsia" w:eastAsia="仿宋_GB2312" w:cs="仿宋_GB2312"/>
                <w:strike w:val="0"/>
                <w:color w:val="auto"/>
                <w:sz w:val="21"/>
                <w:szCs w:val="21"/>
                <w:highlight w:val="none"/>
                <w:lang w:eastAsia="zh-CN"/>
              </w:rPr>
              <w:t>，</w:t>
            </w:r>
            <w:r>
              <w:rPr>
                <w:rStyle w:val="185"/>
                <w:rFonts w:hint="eastAsia" w:ascii="Times New Roman" w:hAnsi="Times New Roman" w:eastAsia="仿宋_GB2312" w:cs="仿宋_GB2312"/>
                <w:strike w:val="0"/>
                <w:color w:val="auto"/>
                <w:sz w:val="21"/>
                <w:szCs w:val="21"/>
                <w:highlight w:val="none"/>
              </w:rPr>
              <w:t>或者使用的能源效率标识不符合规定的</w:t>
            </w:r>
            <w:r>
              <w:rPr>
                <w:rStyle w:val="185"/>
                <w:rFonts w:hint="eastAsia" w:eastAsia="仿宋_GB2312" w:cs="仿宋_GB2312"/>
                <w:strike w:val="0"/>
                <w:color w:val="auto"/>
                <w:sz w:val="21"/>
                <w:szCs w:val="21"/>
                <w:highlight w:val="none"/>
                <w:lang w:eastAsia="zh-CN"/>
              </w:rPr>
              <w:t>，</w:t>
            </w:r>
            <w:r>
              <w:rPr>
                <w:rStyle w:val="185"/>
                <w:rFonts w:hint="eastAsia" w:ascii="Times New Roman" w:hAnsi="Times New Roman" w:eastAsia="仿宋_GB2312" w:cs="仿宋_GB2312"/>
                <w:strike w:val="0"/>
                <w:color w:val="auto"/>
                <w:sz w:val="21"/>
                <w:szCs w:val="21"/>
                <w:highlight w:val="none"/>
              </w:rPr>
              <w:t>由市场监督管理部门责令限期改正</w:t>
            </w:r>
            <w:r>
              <w:rPr>
                <w:rStyle w:val="185"/>
                <w:rFonts w:hint="eastAsia" w:eastAsia="仿宋_GB2312" w:cs="仿宋_GB2312"/>
                <w:strike w:val="0"/>
                <w:color w:val="auto"/>
                <w:sz w:val="21"/>
                <w:szCs w:val="21"/>
                <w:highlight w:val="none"/>
                <w:lang w:eastAsia="zh-CN"/>
              </w:rPr>
              <w:t>；</w:t>
            </w:r>
            <w:r>
              <w:rPr>
                <w:rStyle w:val="185"/>
                <w:rFonts w:hint="eastAsia" w:ascii="Times New Roman" w:hAnsi="Times New Roman" w:eastAsia="仿宋_GB2312" w:cs="仿宋_GB2312"/>
                <w:strike w:val="0"/>
                <w:color w:val="auto"/>
                <w:sz w:val="21"/>
                <w:szCs w:val="21"/>
                <w:highlight w:val="none"/>
              </w:rPr>
              <w:t>逾期不改正的</w:t>
            </w:r>
            <w:r>
              <w:rPr>
                <w:rStyle w:val="185"/>
                <w:rFonts w:hint="eastAsia" w:eastAsia="仿宋_GB2312" w:cs="仿宋_GB2312"/>
                <w:strike w:val="0"/>
                <w:color w:val="auto"/>
                <w:sz w:val="21"/>
                <w:szCs w:val="21"/>
                <w:highlight w:val="none"/>
                <w:lang w:eastAsia="zh-CN"/>
              </w:rPr>
              <w:t>，</w:t>
            </w:r>
            <w:r>
              <w:rPr>
                <w:rStyle w:val="185"/>
                <w:rFonts w:hint="eastAsia" w:ascii="Times New Roman" w:hAnsi="Times New Roman" w:eastAsia="仿宋_GB2312" w:cs="仿宋_GB2312"/>
                <w:strike w:val="0"/>
                <w:color w:val="auto"/>
                <w:sz w:val="21"/>
                <w:szCs w:val="21"/>
                <w:highlight w:val="none"/>
              </w:rPr>
              <w:t>处一万元以上三万元以下罚款。</w:t>
            </w:r>
          </w:p>
        </w:tc>
      </w:tr>
      <w:tr w14:paraId="5D20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6" w:hRule="atLeast"/>
          <w:jc w:val="center"/>
        </w:trPr>
        <w:tc>
          <w:tcPr>
            <w:tcW w:w="307" w:type="pct"/>
            <w:noWrap w:val="0"/>
            <w:vAlign w:val="center"/>
          </w:tcPr>
          <w:p w14:paraId="1ECCB6D1">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43</w:t>
            </w:r>
          </w:p>
        </w:tc>
        <w:tc>
          <w:tcPr>
            <w:tcW w:w="898" w:type="pct"/>
            <w:noWrap w:val="0"/>
            <w:vAlign w:val="center"/>
          </w:tcPr>
          <w:p w14:paraId="5992AD58">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eastAsia="zh-CN"/>
              </w:rPr>
            </w:pPr>
            <w:r>
              <w:rPr>
                <w:rFonts w:hint="eastAsia" w:ascii="Times New Roman" w:hAnsi="Times New Roman" w:eastAsia="仿宋_GB2312" w:cs="仿宋_GB2312"/>
                <w:strike w:val="0"/>
                <w:color w:val="auto"/>
                <w:sz w:val="21"/>
                <w:szCs w:val="21"/>
                <w:highlight w:val="none"/>
                <w:lang w:eastAsia="zh-CN"/>
              </w:rPr>
              <w:t>认证机构有以委托人未参加认证咨询或培训为由拒绝提供认证服务等违法行为的</w:t>
            </w:r>
          </w:p>
        </w:tc>
        <w:tc>
          <w:tcPr>
            <w:tcW w:w="789" w:type="pct"/>
            <w:noWrap w:val="0"/>
            <w:vAlign w:val="center"/>
          </w:tcPr>
          <w:p w14:paraId="00F62A3D">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eastAsia="zh-CN"/>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23923D1B">
            <w:pPr>
              <w:keepNext w:val="0"/>
              <w:keepLines w:val="0"/>
              <w:pageBreakBefore w:val="0"/>
              <w:widowControl/>
              <w:spacing w:line="280" w:lineRule="exact"/>
              <w:jc w:val="left"/>
              <w:rPr>
                <w:rStyle w:val="185"/>
                <w:rFonts w:hint="eastAsia" w:ascii="Times New Roman" w:hAnsi="Times New Roman" w:eastAsia="仿宋_GB2312" w:cs="仿宋_GB2312"/>
                <w:b w:val="0"/>
                <w:bCs w:val="0"/>
                <w:color w:val="auto"/>
                <w:sz w:val="21"/>
                <w:szCs w:val="21"/>
                <w:highlight w:val="none"/>
                <w:lang w:eastAsia="zh-CN"/>
              </w:rPr>
            </w:pPr>
            <w:r>
              <w:rPr>
                <w:rStyle w:val="185"/>
                <w:rFonts w:hint="eastAsia" w:ascii="Times New Roman" w:hAnsi="Times New Roman" w:eastAsia="仿宋_GB2312" w:cs="仿宋_GB2312"/>
                <w:b/>
                <w:bCs/>
                <w:color w:val="auto"/>
                <w:sz w:val="21"/>
                <w:szCs w:val="21"/>
                <w:highlight w:val="none"/>
              </w:rPr>
              <w:t>《中华人民共和国认证认可条例》</w:t>
            </w:r>
            <w:r>
              <w:rPr>
                <w:rStyle w:val="185"/>
                <w:rFonts w:hint="eastAsia" w:ascii="Times New Roman" w:hAnsi="Times New Roman" w:eastAsia="仿宋_GB2312" w:cs="仿宋_GB2312"/>
                <w:b w:val="0"/>
                <w:bCs w:val="0"/>
                <w:color w:val="auto"/>
                <w:sz w:val="21"/>
                <w:szCs w:val="21"/>
                <w:highlight w:val="none"/>
              </w:rPr>
              <w:t>第六十条</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认证机构有下列情形之一的，责令限期改正；逾期未改正的，处2万元以上10万元以下的罚款：</w:t>
            </w:r>
          </w:p>
          <w:p w14:paraId="7000EB32">
            <w:pPr>
              <w:keepNext w:val="0"/>
              <w:keepLines w:val="0"/>
              <w:pageBreakBefore w:val="0"/>
              <w:widowControl/>
              <w:numPr>
                <w:ilvl w:val="0"/>
                <w:numId w:val="0"/>
              </w:numPr>
              <w:tabs>
                <w:tab w:val="left" w:pos="312"/>
              </w:tabs>
              <w:spacing w:line="280" w:lineRule="exact"/>
              <w:ind w:left="0" w:firstLine="0"/>
              <w:jc w:val="left"/>
              <w:rPr>
                <w:rStyle w:val="185"/>
                <w:rFonts w:hint="eastAsia" w:ascii="Times New Roman" w:hAnsi="Times New Roman" w:eastAsia="仿宋_GB2312" w:cs="仿宋_GB2312"/>
                <w:b w:val="0"/>
                <w:bCs w:val="0"/>
                <w:color w:val="auto"/>
                <w:sz w:val="21"/>
                <w:szCs w:val="21"/>
                <w:highlight w:val="none"/>
              </w:rPr>
            </w:pPr>
            <w:r>
              <w:rPr>
                <w:rStyle w:val="185"/>
                <w:rFonts w:hint="eastAsia" w:eastAsia="仿宋_GB2312" w:cs="仿宋_GB2312"/>
                <w:b w:val="0"/>
                <w:bCs w:val="0"/>
                <w:color w:val="auto"/>
                <w:sz w:val="21"/>
                <w:szCs w:val="21"/>
                <w:highlight w:val="none"/>
                <w:lang w:eastAsia="zh-CN"/>
              </w:rPr>
              <w:t>（一）</w:t>
            </w:r>
            <w:r>
              <w:rPr>
                <w:rStyle w:val="185"/>
                <w:rFonts w:hint="eastAsia" w:ascii="Times New Roman" w:hAnsi="Times New Roman" w:eastAsia="仿宋_GB2312" w:cs="仿宋_GB2312"/>
                <w:b w:val="0"/>
                <w:bCs w:val="0"/>
                <w:color w:val="auto"/>
                <w:sz w:val="21"/>
                <w:szCs w:val="21"/>
                <w:highlight w:val="none"/>
              </w:rPr>
              <w:t>以委托人未参加认证咨询或者认证培训等为理由，拒绝提供本认证机构业务范围内的认证服务，或者向委托人提出与认证活动无关的要求或者限制条件的。</w:t>
            </w:r>
          </w:p>
          <w:p w14:paraId="1D222DBE">
            <w:pPr>
              <w:keepNext w:val="0"/>
              <w:keepLines w:val="0"/>
              <w:pageBreakBefore w:val="0"/>
              <w:widowControl/>
              <w:numPr>
                <w:ilvl w:val="0"/>
                <w:numId w:val="0"/>
              </w:numPr>
              <w:tabs>
                <w:tab w:val="left" w:pos="312"/>
              </w:tabs>
              <w:spacing w:line="280" w:lineRule="exact"/>
              <w:ind w:left="0" w:firstLine="0"/>
              <w:jc w:val="left"/>
              <w:rPr>
                <w:rStyle w:val="185"/>
                <w:rFonts w:hint="eastAsia" w:ascii="Times New Roman" w:hAnsi="Times New Roman" w:eastAsia="仿宋_GB2312" w:cs="仿宋_GB2312"/>
                <w:b w:val="0"/>
                <w:bCs w:val="0"/>
                <w:color w:val="auto"/>
                <w:sz w:val="21"/>
                <w:szCs w:val="21"/>
                <w:highlight w:val="none"/>
              </w:rPr>
            </w:pPr>
            <w:r>
              <w:rPr>
                <w:rStyle w:val="185"/>
                <w:rFonts w:hint="eastAsia" w:eastAsia="仿宋_GB2312" w:cs="仿宋_GB2312"/>
                <w:b w:val="0"/>
                <w:bCs w:val="0"/>
                <w:color w:val="auto"/>
                <w:sz w:val="21"/>
                <w:szCs w:val="21"/>
                <w:highlight w:val="none"/>
                <w:lang w:eastAsia="zh-CN"/>
              </w:rPr>
              <w:t>（二）</w:t>
            </w:r>
            <w:r>
              <w:rPr>
                <w:rStyle w:val="185"/>
                <w:rFonts w:hint="eastAsia" w:ascii="Times New Roman" w:hAnsi="Times New Roman" w:eastAsia="仿宋_GB2312" w:cs="仿宋_GB2312"/>
                <w:b w:val="0"/>
                <w:bCs w:val="0"/>
                <w:color w:val="auto"/>
                <w:sz w:val="21"/>
                <w:szCs w:val="21"/>
                <w:highlight w:val="none"/>
              </w:rPr>
              <w:t>自行制定的认证标志的式样、文字和名称，与国家推行的认证标志相同或者近似，或者妨碍社会管理，或者有损社会道德风尚的。</w:t>
            </w:r>
          </w:p>
          <w:p w14:paraId="304881A1">
            <w:pPr>
              <w:keepNext w:val="0"/>
              <w:keepLines w:val="0"/>
              <w:pageBreakBefore w:val="0"/>
              <w:widowControl/>
              <w:numPr>
                <w:ilvl w:val="0"/>
                <w:numId w:val="0"/>
              </w:numPr>
              <w:tabs>
                <w:tab w:val="left" w:pos="312"/>
              </w:tabs>
              <w:spacing w:line="280" w:lineRule="exact"/>
              <w:ind w:left="0" w:firstLine="0"/>
              <w:jc w:val="left"/>
              <w:rPr>
                <w:rStyle w:val="185"/>
                <w:rFonts w:hint="eastAsia" w:ascii="Times New Roman" w:hAnsi="Times New Roman" w:eastAsia="仿宋_GB2312" w:cs="仿宋_GB2312"/>
                <w:b w:val="0"/>
                <w:bCs w:val="0"/>
                <w:color w:val="auto"/>
                <w:sz w:val="21"/>
                <w:szCs w:val="21"/>
                <w:highlight w:val="none"/>
              </w:rPr>
            </w:pPr>
            <w:r>
              <w:rPr>
                <w:rStyle w:val="185"/>
                <w:rFonts w:hint="eastAsia" w:eastAsia="仿宋_GB2312" w:cs="仿宋_GB2312"/>
                <w:b w:val="0"/>
                <w:bCs w:val="0"/>
                <w:color w:val="auto"/>
                <w:sz w:val="21"/>
                <w:szCs w:val="21"/>
                <w:highlight w:val="none"/>
                <w:lang w:eastAsia="zh-CN"/>
              </w:rPr>
              <w:t>（三）</w:t>
            </w:r>
            <w:r>
              <w:rPr>
                <w:rStyle w:val="185"/>
                <w:rFonts w:hint="eastAsia" w:ascii="Times New Roman" w:hAnsi="Times New Roman" w:eastAsia="仿宋_GB2312" w:cs="仿宋_GB2312"/>
                <w:b w:val="0"/>
                <w:bCs w:val="0"/>
                <w:color w:val="auto"/>
                <w:sz w:val="21"/>
                <w:szCs w:val="21"/>
                <w:highlight w:val="none"/>
              </w:rPr>
              <w:t>未公开认证基本规范、认证规则、收费标准等信息的。</w:t>
            </w:r>
          </w:p>
          <w:p w14:paraId="70976CC1">
            <w:pPr>
              <w:keepNext w:val="0"/>
              <w:keepLines w:val="0"/>
              <w:pageBreakBefore w:val="0"/>
              <w:widowControl/>
              <w:numPr>
                <w:ilvl w:val="0"/>
                <w:numId w:val="0"/>
              </w:numPr>
              <w:tabs>
                <w:tab w:val="left" w:pos="312"/>
              </w:tabs>
              <w:spacing w:line="280" w:lineRule="exact"/>
              <w:ind w:left="0" w:firstLine="0"/>
              <w:jc w:val="left"/>
              <w:rPr>
                <w:rStyle w:val="185"/>
                <w:rFonts w:hint="eastAsia" w:ascii="Times New Roman" w:hAnsi="Times New Roman" w:eastAsia="仿宋_GB2312" w:cs="仿宋_GB2312"/>
                <w:b w:val="0"/>
                <w:bCs w:val="0"/>
                <w:color w:val="auto"/>
                <w:sz w:val="21"/>
                <w:szCs w:val="21"/>
                <w:highlight w:val="none"/>
              </w:rPr>
            </w:pPr>
            <w:r>
              <w:rPr>
                <w:rStyle w:val="185"/>
                <w:rFonts w:hint="eastAsia" w:eastAsia="仿宋_GB2312" w:cs="仿宋_GB2312"/>
                <w:b w:val="0"/>
                <w:bCs w:val="0"/>
                <w:color w:val="auto"/>
                <w:sz w:val="21"/>
                <w:szCs w:val="21"/>
                <w:highlight w:val="none"/>
                <w:lang w:eastAsia="zh-CN"/>
              </w:rPr>
              <w:t>（四）</w:t>
            </w:r>
            <w:r>
              <w:rPr>
                <w:rStyle w:val="185"/>
                <w:rFonts w:hint="eastAsia" w:ascii="Times New Roman" w:hAnsi="Times New Roman" w:eastAsia="仿宋_GB2312" w:cs="仿宋_GB2312"/>
                <w:b w:val="0"/>
                <w:bCs w:val="0"/>
                <w:color w:val="auto"/>
                <w:sz w:val="21"/>
                <w:szCs w:val="21"/>
                <w:highlight w:val="none"/>
              </w:rPr>
              <w:t>未对认证过程作出完整记录，归档留存的。</w:t>
            </w:r>
          </w:p>
          <w:p w14:paraId="30D325CA">
            <w:pPr>
              <w:keepNext w:val="0"/>
              <w:keepLines w:val="0"/>
              <w:pageBreakBefore w:val="0"/>
              <w:widowControl/>
              <w:numPr>
                <w:ilvl w:val="0"/>
                <w:numId w:val="0"/>
              </w:numPr>
              <w:tabs>
                <w:tab w:val="left" w:pos="312"/>
              </w:tabs>
              <w:spacing w:line="280" w:lineRule="exact"/>
              <w:ind w:left="0" w:firstLine="0"/>
              <w:jc w:val="left"/>
              <w:rPr>
                <w:rStyle w:val="185"/>
                <w:rFonts w:hint="eastAsia" w:ascii="Times New Roman" w:hAnsi="Times New Roman" w:eastAsia="仿宋_GB2312" w:cs="仿宋_GB2312"/>
                <w:b w:val="0"/>
                <w:bCs w:val="0"/>
                <w:color w:val="auto"/>
                <w:sz w:val="21"/>
                <w:szCs w:val="21"/>
                <w:highlight w:val="none"/>
              </w:rPr>
            </w:pPr>
            <w:r>
              <w:rPr>
                <w:rStyle w:val="185"/>
                <w:rFonts w:hint="eastAsia" w:eastAsia="仿宋_GB2312" w:cs="仿宋_GB2312"/>
                <w:b w:val="0"/>
                <w:bCs w:val="0"/>
                <w:color w:val="auto"/>
                <w:sz w:val="21"/>
                <w:szCs w:val="21"/>
                <w:highlight w:val="none"/>
                <w:lang w:eastAsia="zh-CN"/>
              </w:rPr>
              <w:t>（五）</w:t>
            </w:r>
            <w:r>
              <w:rPr>
                <w:rStyle w:val="185"/>
                <w:rFonts w:hint="eastAsia" w:ascii="Times New Roman" w:hAnsi="Times New Roman" w:eastAsia="仿宋_GB2312" w:cs="仿宋_GB2312"/>
                <w:b w:val="0"/>
                <w:bCs w:val="0"/>
                <w:color w:val="auto"/>
                <w:sz w:val="21"/>
                <w:szCs w:val="21"/>
                <w:highlight w:val="none"/>
              </w:rPr>
              <w:t>未及时向其认证的委托人出具认证证书的。</w:t>
            </w:r>
          </w:p>
          <w:p w14:paraId="62E6F33B">
            <w:pPr>
              <w:keepNext w:val="0"/>
              <w:keepLines w:val="0"/>
              <w:pageBreakBefore w:val="0"/>
              <w:widowControl/>
              <w:numPr>
                <w:ilvl w:val="0"/>
                <w:numId w:val="0"/>
              </w:numPr>
              <w:spacing w:line="280" w:lineRule="exact"/>
              <w:ind w:firstLine="0"/>
              <w:jc w:val="left"/>
              <w:rPr>
                <w:rStyle w:val="184"/>
                <w:rFonts w:hint="eastAsia" w:ascii="Times New Roman" w:hAnsi="Times New Roman" w:eastAsia="仿宋_GB2312" w:cs="仿宋_GB2312"/>
                <w:strike w:val="0"/>
                <w:color w:val="auto"/>
                <w:sz w:val="21"/>
                <w:szCs w:val="21"/>
                <w:highlight w:val="none"/>
              </w:rPr>
            </w:pPr>
            <w:r>
              <w:rPr>
                <w:rStyle w:val="185"/>
                <w:rFonts w:hint="eastAsia" w:ascii="Times New Roman" w:hAnsi="Times New Roman" w:eastAsia="仿宋_GB2312" w:cs="仿宋_GB2312"/>
                <w:b w:val="0"/>
                <w:bCs w:val="0"/>
                <w:color w:val="auto"/>
                <w:sz w:val="21"/>
                <w:szCs w:val="21"/>
                <w:highlight w:val="none"/>
                <w:lang w:eastAsia="zh-CN"/>
              </w:rPr>
              <w:t>（六）</w:t>
            </w:r>
            <w:r>
              <w:rPr>
                <w:rStyle w:val="185"/>
                <w:rFonts w:hint="eastAsia" w:ascii="Times New Roman" w:hAnsi="Times New Roman" w:eastAsia="仿宋_GB2312" w:cs="仿宋_GB2312"/>
                <w:b w:val="0"/>
                <w:bCs w:val="0"/>
                <w:color w:val="auto"/>
                <w:sz w:val="21"/>
                <w:szCs w:val="21"/>
                <w:highlight w:val="none"/>
              </w:rPr>
              <w:t>与认证有关的检查机构、实验室未对与认证有关的检查、检测过程作出完整记录，归档留存的，依照前款规定处罚。</w:t>
            </w:r>
          </w:p>
        </w:tc>
      </w:tr>
      <w:tr w14:paraId="6556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307" w:type="pct"/>
            <w:noWrap w:val="0"/>
            <w:vAlign w:val="center"/>
          </w:tcPr>
          <w:p w14:paraId="2432C1CB">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44</w:t>
            </w:r>
          </w:p>
        </w:tc>
        <w:tc>
          <w:tcPr>
            <w:tcW w:w="898" w:type="pct"/>
            <w:noWrap w:val="0"/>
            <w:vAlign w:val="center"/>
          </w:tcPr>
          <w:p w14:paraId="26FAC3C5">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对混淆使用认证证书和认证标志的</w:t>
            </w:r>
          </w:p>
        </w:tc>
        <w:tc>
          <w:tcPr>
            <w:tcW w:w="789" w:type="pct"/>
            <w:noWrap w:val="0"/>
            <w:vAlign w:val="center"/>
          </w:tcPr>
          <w:p w14:paraId="54A0666B">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31C69F97">
            <w:pPr>
              <w:keepNext w:val="0"/>
              <w:keepLines w:val="0"/>
              <w:pageBreakBefore w:val="0"/>
              <w:widowControl/>
              <w:spacing w:line="280" w:lineRule="exact"/>
              <w:jc w:val="lef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《认证证书和认证标志管理办法》</w:t>
            </w:r>
            <w:r>
              <w:rPr>
                <w:rStyle w:val="185"/>
                <w:rFonts w:hint="eastAsia" w:ascii="Times New Roman" w:hAnsi="Times New Roman" w:eastAsia="仿宋_GB2312" w:cs="仿宋_GB2312"/>
                <w:strike w:val="0"/>
                <w:color w:val="auto"/>
                <w:sz w:val="21"/>
                <w:szCs w:val="21"/>
                <w:highlight w:val="none"/>
              </w:rPr>
              <w:t>第十二条：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p w14:paraId="40CACDD9">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rPr>
              <w:t>第二十五条第一款：违反本办法第十二条规定，对混淆使用认证证书和认证标志的，</w:t>
            </w:r>
            <w:r>
              <w:rPr>
                <w:rStyle w:val="185"/>
                <w:rFonts w:hint="eastAsia" w:ascii="Times New Roman" w:hAnsi="Times New Roman" w:eastAsia="仿宋_GB2312" w:cs="仿宋_GB2312"/>
                <w:strike w:val="0"/>
                <w:color w:val="auto"/>
                <w:sz w:val="21"/>
                <w:szCs w:val="21"/>
                <w:highlight w:val="none"/>
                <w:lang w:eastAsia="zh-CN"/>
              </w:rPr>
              <w:t>县级以上地方市场监督管理部门</w:t>
            </w:r>
            <w:r>
              <w:rPr>
                <w:rStyle w:val="185"/>
                <w:rFonts w:hint="eastAsia" w:ascii="Times New Roman" w:hAnsi="Times New Roman" w:eastAsia="仿宋_GB2312" w:cs="仿宋_GB2312"/>
                <w:strike w:val="0"/>
                <w:color w:val="auto"/>
                <w:sz w:val="21"/>
                <w:szCs w:val="21"/>
                <w:highlight w:val="none"/>
              </w:rPr>
              <w:t>应当责令其限期改正，逾期不改的处以2万元以下罚款。</w:t>
            </w:r>
          </w:p>
        </w:tc>
      </w:tr>
      <w:tr w14:paraId="2DFE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2" w:hRule="atLeast"/>
          <w:jc w:val="center"/>
        </w:trPr>
        <w:tc>
          <w:tcPr>
            <w:tcW w:w="307" w:type="pct"/>
            <w:noWrap w:val="0"/>
            <w:vAlign w:val="center"/>
          </w:tcPr>
          <w:p w14:paraId="202E2889">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45</w:t>
            </w:r>
          </w:p>
        </w:tc>
        <w:tc>
          <w:tcPr>
            <w:tcW w:w="898" w:type="pct"/>
            <w:noWrap w:val="0"/>
            <w:vAlign w:val="center"/>
          </w:tcPr>
          <w:p w14:paraId="776C0D17">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检验检测机构未按照规定办理变更手续的</w:t>
            </w:r>
          </w:p>
        </w:tc>
        <w:tc>
          <w:tcPr>
            <w:tcW w:w="789" w:type="pct"/>
            <w:noWrap w:val="0"/>
            <w:vAlign w:val="center"/>
          </w:tcPr>
          <w:p w14:paraId="1E463747">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7277AF75">
            <w:pPr>
              <w:keepNext w:val="0"/>
              <w:keepLines w:val="0"/>
              <w:pageBreakBefore w:val="0"/>
              <w:widowControl/>
              <w:spacing w:line="280" w:lineRule="exact"/>
              <w:jc w:val="lef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《检验检测机构资质认定管理办法》</w:t>
            </w:r>
            <w:r>
              <w:rPr>
                <w:rStyle w:val="185"/>
                <w:rFonts w:hint="eastAsia" w:ascii="Times New Roman" w:hAnsi="Times New Roman" w:eastAsia="仿宋_GB2312" w:cs="仿宋_GB2312"/>
                <w:strike w:val="0"/>
                <w:color w:val="auto"/>
                <w:sz w:val="21"/>
                <w:szCs w:val="21"/>
                <w:highlight w:val="none"/>
              </w:rPr>
              <w:t>第十四条第一款  有下列情形之一的，检验检测机构应当向资质认定部门申请办理变更手续：（一）机构名称、地址、法人性质发生变更的；（二）法定代表人、最高管理者、技术负责人、检验检测报告授权签字人发生变更的；（三）资质认定检验检测项目取消的；（四）检验检测标准或者检验检测方法发生变更的；（五）依法需要办理变更的其他事项。</w:t>
            </w:r>
          </w:p>
          <w:p w14:paraId="5D48D961">
            <w:pPr>
              <w:keepNext w:val="0"/>
              <w:keepLines w:val="0"/>
              <w:pageBreakBefore w:val="0"/>
              <w:widowControl/>
              <w:spacing w:line="28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rPr>
              <w:t xml:space="preserve">第三十五条第一项 </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检验检测机构有下列情形之一的，由县级以上市场监督管理部门责令限期改正；逾期未改正或者改正后仍不符合要求的，处1万元以下罚款。（一）未按照本办法第十四条规定办理变更手续的；</w:t>
            </w:r>
          </w:p>
        </w:tc>
      </w:tr>
      <w:tr w14:paraId="0E9A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jc w:val="center"/>
        </w:trPr>
        <w:tc>
          <w:tcPr>
            <w:tcW w:w="307" w:type="pct"/>
            <w:noWrap w:val="0"/>
            <w:vAlign w:val="center"/>
          </w:tcPr>
          <w:p w14:paraId="337A1CAF">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46</w:t>
            </w:r>
          </w:p>
        </w:tc>
        <w:tc>
          <w:tcPr>
            <w:tcW w:w="898" w:type="pct"/>
            <w:noWrap w:val="0"/>
            <w:vAlign w:val="center"/>
          </w:tcPr>
          <w:p w14:paraId="753763F2">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检验检测机构未按照规定标注资质认定标志的</w:t>
            </w:r>
          </w:p>
        </w:tc>
        <w:tc>
          <w:tcPr>
            <w:tcW w:w="789" w:type="pct"/>
            <w:noWrap w:val="0"/>
            <w:vAlign w:val="center"/>
          </w:tcPr>
          <w:p w14:paraId="61A0B3E9">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53DB7CD2">
            <w:pPr>
              <w:keepNext w:val="0"/>
              <w:keepLines w:val="0"/>
              <w:pageBreakBefore w:val="0"/>
              <w:widowControl/>
              <w:spacing w:line="30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4"/>
                <w:rFonts w:hint="eastAsia" w:ascii="Times New Roman" w:hAnsi="Times New Roman" w:eastAsia="仿宋_GB2312" w:cs="仿宋_GB2312"/>
                <w:strike w:val="0"/>
                <w:color w:val="auto"/>
                <w:sz w:val="21"/>
                <w:szCs w:val="21"/>
                <w:highlight w:val="none"/>
              </w:rPr>
              <w:t>《检验检测机构资质认定管理办法》</w:t>
            </w:r>
            <w:r>
              <w:rPr>
                <w:rStyle w:val="185"/>
                <w:rFonts w:hint="eastAsia" w:ascii="Times New Roman" w:hAnsi="Times New Roman" w:eastAsia="仿宋_GB2312" w:cs="仿宋_GB2312"/>
                <w:strike w:val="0"/>
                <w:color w:val="auto"/>
                <w:sz w:val="21"/>
                <w:szCs w:val="21"/>
                <w:highlight w:val="none"/>
              </w:rPr>
              <w:t>第二十一条：检验检测机构向社会出具具有证明作用的检验检测数据、结果的，应当在其检验检测报告上标注资质认定标志。第三十五条第二项  检验检测机构有下列情形之一的，由县级以上市场监督管理部门责令限期改正；逾期未改正或者改正后仍不符合要求的，处1万元以下罚款。（二）未按照本办法第二十一条规定标注资质认定标志的。</w:t>
            </w:r>
          </w:p>
        </w:tc>
      </w:tr>
      <w:tr w14:paraId="7859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2" w:hRule="atLeast"/>
          <w:jc w:val="center"/>
        </w:trPr>
        <w:tc>
          <w:tcPr>
            <w:tcW w:w="307" w:type="pct"/>
            <w:tcBorders>
              <w:top w:val="single" w:color="auto" w:sz="4" w:space="0"/>
              <w:left w:val="single" w:color="auto" w:sz="4" w:space="0"/>
              <w:bottom w:val="single" w:color="auto" w:sz="4" w:space="0"/>
              <w:right w:val="single" w:color="auto" w:sz="4" w:space="0"/>
            </w:tcBorders>
            <w:noWrap w:val="0"/>
            <w:vAlign w:val="center"/>
          </w:tcPr>
          <w:p w14:paraId="3B4889BF">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47</w:t>
            </w:r>
          </w:p>
        </w:tc>
        <w:tc>
          <w:tcPr>
            <w:tcW w:w="898" w:type="pct"/>
            <w:noWrap w:val="0"/>
            <w:vAlign w:val="center"/>
          </w:tcPr>
          <w:p w14:paraId="64B24E8C">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团体标准、企业标准的技术要求低于强制性国家标准，或制定标准不符合有利于科学合理利用资源，推广科学技术成果等相关要求的</w:t>
            </w:r>
          </w:p>
        </w:tc>
        <w:tc>
          <w:tcPr>
            <w:tcW w:w="789" w:type="pct"/>
            <w:noWrap w:val="0"/>
            <w:vAlign w:val="center"/>
          </w:tcPr>
          <w:p w14:paraId="0F6E86DD">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2144ADB4">
            <w:pPr>
              <w:keepNext w:val="0"/>
              <w:keepLines w:val="0"/>
              <w:pageBreakBefore w:val="0"/>
              <w:widowControl/>
              <w:spacing w:line="300" w:lineRule="exact"/>
              <w:jc w:val="lef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《中华人民共和国标准化法》</w:t>
            </w:r>
            <w:r>
              <w:rPr>
                <w:rStyle w:val="185"/>
                <w:rFonts w:hint="eastAsia" w:ascii="Times New Roman" w:hAnsi="Times New Roman" w:eastAsia="仿宋_GB2312" w:cs="仿宋_GB2312"/>
                <w:strike w:val="0"/>
                <w:color w:val="auto"/>
                <w:sz w:val="21"/>
                <w:szCs w:val="21"/>
                <w:highlight w:val="none"/>
              </w:rPr>
              <w:t>第二十一条第一款</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 xml:space="preserve"> 推荐性国家标准、行业标准、地方标准、团体标准、企业标准的技术要求不得低于强制性国家标准的相关技术要求。第二十二条第一款 </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制定标准应当有利于科学合理利用资源，推广科学技术成果，增强产品的安全性、通用性、可替换性，提高经济效益、社会效益、生态效益，做到技术上先进、经济上合理。</w:t>
            </w:r>
          </w:p>
          <w:p w14:paraId="03880475">
            <w:pPr>
              <w:keepNext w:val="0"/>
              <w:keepLines w:val="0"/>
              <w:pageBreakBefore w:val="0"/>
              <w:widowControl/>
              <w:spacing w:line="300" w:lineRule="exact"/>
              <w:jc w:val="left"/>
              <w:rPr>
                <w:rStyle w:val="185"/>
                <w:rFonts w:hint="eastAsia" w:ascii="Times New Roman" w:hAnsi="Times New Roman" w:eastAsia="仿宋_GB2312" w:cs="仿宋_GB2312"/>
                <w:strike w:val="0"/>
                <w:color w:val="auto"/>
                <w:sz w:val="21"/>
                <w:szCs w:val="21"/>
                <w:highlight w:val="none"/>
              </w:rPr>
            </w:pPr>
            <w:r>
              <w:rPr>
                <w:rStyle w:val="185"/>
                <w:rFonts w:hint="eastAsia" w:ascii="Times New Roman" w:hAnsi="Times New Roman" w:eastAsia="仿宋_GB2312" w:cs="仿宋_GB2312"/>
                <w:strike w:val="0"/>
                <w:color w:val="auto"/>
                <w:sz w:val="21"/>
                <w:szCs w:val="21"/>
                <w:highlight w:val="none"/>
              </w:rPr>
              <w:t xml:space="preserve">第三十九条第二款 </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14:paraId="3CDB5201">
            <w:pPr>
              <w:keepNext w:val="0"/>
              <w:keepLines w:val="0"/>
              <w:pageBreakBefore w:val="0"/>
              <w:widowControl/>
              <w:spacing w:line="300" w:lineRule="exact"/>
              <w:jc w:val="left"/>
              <w:rPr>
                <w:rStyle w:val="185"/>
                <w:rFonts w:hint="eastAsia" w:ascii="Times New Roman" w:hAnsi="Times New Roman" w:eastAsia="仿宋_GB2312" w:cs="仿宋_GB2312"/>
                <w:strike w:val="0"/>
                <w:color w:val="auto"/>
                <w:sz w:val="21"/>
                <w:szCs w:val="21"/>
                <w:highlight w:val="none"/>
              </w:rPr>
            </w:pPr>
            <w:r>
              <w:rPr>
                <w:rStyle w:val="185"/>
                <w:rFonts w:hint="eastAsia" w:ascii="Times New Roman" w:hAnsi="Times New Roman" w:eastAsia="仿宋_GB2312" w:cs="仿宋_GB2312"/>
                <w:b/>
                <w:bCs/>
                <w:strike w:val="0"/>
                <w:color w:val="auto"/>
                <w:sz w:val="21"/>
                <w:szCs w:val="21"/>
                <w:highlight w:val="none"/>
              </w:rPr>
              <w:t>《山西省标准化条例》</w:t>
            </w:r>
            <w:r>
              <w:rPr>
                <w:rStyle w:val="185"/>
                <w:rFonts w:hint="eastAsia" w:ascii="Times New Roman" w:hAnsi="Times New Roman" w:eastAsia="仿宋_GB2312" w:cs="仿宋_GB2312"/>
                <w:strike w:val="0"/>
                <w:color w:val="auto"/>
                <w:sz w:val="21"/>
                <w:szCs w:val="21"/>
                <w:highlight w:val="none"/>
              </w:rPr>
              <w:t>第七条</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 xml:space="preserve"> 制定标准应当有利于科学合理利用资源，推广科学技术成果，增强产品的安全性、通用性、可替换性，提高经济效益、社会效益、生态效益，做到技术上先进、经济上合理。第九条第一款 </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地方标准、团体标准、企业标准以及地方标准化指导性技术文件的技术要求不得低于强制性标准的技术要求。地方标准和地方标准化指导性技术文件的技术要求不得低于推荐性国家标准的技术要求。</w:t>
            </w:r>
          </w:p>
          <w:p w14:paraId="524BBC9C">
            <w:pPr>
              <w:keepNext w:val="0"/>
              <w:keepLines w:val="0"/>
              <w:pageBreakBefore w:val="0"/>
              <w:widowControl/>
              <w:spacing w:line="30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5"/>
                <w:rFonts w:hint="eastAsia" w:ascii="Times New Roman" w:hAnsi="Times New Roman" w:eastAsia="仿宋_GB2312" w:cs="仿宋_GB2312"/>
                <w:strike w:val="0"/>
                <w:color w:val="auto"/>
                <w:sz w:val="21"/>
                <w:szCs w:val="21"/>
                <w:highlight w:val="none"/>
              </w:rPr>
              <w:t>第四十二条</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 xml:space="preserve"> 社会团体、企业制定的标准不符合本条例第七条、第九条第一款规定的，由县级以上人民政府标准化行政主管部门责令限期改正；逾期不改正的，由省人民政府标准化行政主管部门废止相关标准并公示。</w:t>
            </w:r>
          </w:p>
        </w:tc>
      </w:tr>
      <w:tr w14:paraId="59F8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307" w:type="pct"/>
            <w:tcBorders>
              <w:top w:val="single" w:color="auto" w:sz="4" w:space="0"/>
              <w:left w:val="single" w:color="auto" w:sz="4" w:space="0"/>
              <w:bottom w:val="single" w:color="auto" w:sz="4" w:space="0"/>
              <w:right w:val="single" w:color="auto" w:sz="4" w:space="0"/>
            </w:tcBorders>
            <w:noWrap w:val="0"/>
            <w:vAlign w:val="center"/>
          </w:tcPr>
          <w:p w14:paraId="467073E7">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48</w:t>
            </w:r>
          </w:p>
        </w:tc>
        <w:tc>
          <w:tcPr>
            <w:tcW w:w="898" w:type="pct"/>
            <w:noWrap w:val="0"/>
            <w:vAlign w:val="center"/>
          </w:tcPr>
          <w:p w14:paraId="351D8C9A">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rPr>
              <w:t>社会团体、企业未按规定对团体标准或者企业标准进行编号</w:t>
            </w:r>
          </w:p>
        </w:tc>
        <w:tc>
          <w:tcPr>
            <w:tcW w:w="789" w:type="pct"/>
            <w:noWrap w:val="0"/>
            <w:vAlign w:val="center"/>
          </w:tcPr>
          <w:p w14:paraId="18326042">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013C76DF">
            <w:pPr>
              <w:keepNext w:val="0"/>
              <w:keepLines w:val="0"/>
              <w:pageBreakBefore w:val="0"/>
              <w:widowControl/>
              <w:spacing w:line="300" w:lineRule="exact"/>
              <w:jc w:val="left"/>
              <w:rPr>
                <w:rFonts w:hint="eastAsia" w:ascii="Times New Roman" w:hAnsi="Times New Roman" w:eastAsia="仿宋_GB2312" w:cs="仿宋_GB2312"/>
                <w:b/>
                <w:bCs/>
                <w:strike w:val="0"/>
                <w:color w:val="auto"/>
                <w:sz w:val="21"/>
                <w:szCs w:val="21"/>
                <w:highlight w:val="none"/>
                <w:lang w:val="en-US" w:eastAsia="zh-CN" w:bidi="ar-SA"/>
              </w:rPr>
            </w:pPr>
            <w:r>
              <w:rPr>
                <w:rStyle w:val="184"/>
                <w:rFonts w:hint="eastAsia" w:ascii="Times New Roman" w:hAnsi="Times New Roman" w:eastAsia="仿宋_GB2312" w:cs="仿宋_GB2312"/>
                <w:strike w:val="0"/>
                <w:color w:val="auto"/>
                <w:sz w:val="21"/>
                <w:szCs w:val="21"/>
                <w:highlight w:val="none"/>
              </w:rPr>
              <w:t>《中华人民共和国标准化法》</w:t>
            </w:r>
            <w:r>
              <w:rPr>
                <w:rStyle w:val="185"/>
                <w:rFonts w:hint="eastAsia" w:ascii="Times New Roman" w:hAnsi="Times New Roman" w:eastAsia="仿宋_GB2312" w:cs="仿宋_GB2312"/>
                <w:strike w:val="0"/>
                <w:color w:val="auto"/>
                <w:sz w:val="21"/>
                <w:szCs w:val="21"/>
                <w:highlight w:val="none"/>
              </w:rPr>
              <w:t>第四十二条</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tc>
      </w:tr>
      <w:tr w14:paraId="3AE9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307" w:type="pct"/>
            <w:tcBorders>
              <w:top w:val="single" w:color="auto" w:sz="4" w:space="0"/>
              <w:left w:val="single" w:color="auto" w:sz="4" w:space="0"/>
              <w:bottom w:val="single" w:color="auto" w:sz="4" w:space="0"/>
              <w:right w:val="single" w:color="auto" w:sz="4" w:space="0"/>
            </w:tcBorders>
            <w:noWrap w:val="0"/>
            <w:vAlign w:val="center"/>
          </w:tcPr>
          <w:p w14:paraId="7E452839">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49</w:t>
            </w:r>
          </w:p>
        </w:tc>
        <w:tc>
          <w:tcPr>
            <w:tcW w:w="898" w:type="pct"/>
            <w:noWrap w:val="0"/>
            <w:vAlign w:val="center"/>
          </w:tcPr>
          <w:p w14:paraId="1A1E9785">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eastAsia="zh-CN"/>
              </w:rPr>
            </w:pPr>
            <w:r>
              <w:rPr>
                <w:rFonts w:hint="eastAsia" w:ascii="Times New Roman" w:hAnsi="Times New Roman" w:eastAsia="仿宋_GB2312" w:cs="仿宋_GB2312"/>
                <w:strike w:val="0"/>
                <w:color w:val="auto"/>
                <w:sz w:val="21"/>
                <w:szCs w:val="21"/>
                <w:highlight w:val="none"/>
                <w:lang w:eastAsia="zh-CN"/>
              </w:rPr>
              <w:t>企业未按规定公开其执行标准的</w:t>
            </w:r>
          </w:p>
        </w:tc>
        <w:tc>
          <w:tcPr>
            <w:tcW w:w="789" w:type="pct"/>
            <w:noWrap w:val="0"/>
            <w:vAlign w:val="center"/>
          </w:tcPr>
          <w:p w14:paraId="4DDF47A7">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4A7FD49A">
            <w:pPr>
              <w:keepNext w:val="0"/>
              <w:keepLines w:val="0"/>
              <w:pageBreakBefore w:val="0"/>
              <w:widowControl/>
              <w:spacing w:line="320" w:lineRule="exact"/>
              <w:jc w:val="left"/>
              <w:rPr>
                <w:rStyle w:val="185"/>
                <w:rFonts w:hint="eastAsia" w:ascii="Times New Roman" w:hAnsi="Times New Roman" w:eastAsia="仿宋_GB2312" w:cs="仿宋_GB2312"/>
                <w:strike w:val="0"/>
                <w:color w:val="auto"/>
                <w:sz w:val="21"/>
                <w:szCs w:val="21"/>
                <w:highlight w:val="none"/>
              </w:rPr>
            </w:pPr>
            <w:r>
              <w:rPr>
                <w:rStyle w:val="184"/>
                <w:rFonts w:hint="eastAsia" w:ascii="Times New Roman" w:hAnsi="Times New Roman" w:eastAsia="仿宋_GB2312" w:cs="仿宋_GB2312"/>
                <w:strike w:val="0"/>
                <w:color w:val="auto"/>
                <w:sz w:val="21"/>
                <w:szCs w:val="21"/>
                <w:highlight w:val="none"/>
              </w:rPr>
              <w:t>《中华人民共和国标准化法》</w:t>
            </w:r>
            <w:r>
              <w:rPr>
                <w:rStyle w:val="185"/>
                <w:rFonts w:hint="eastAsia" w:ascii="Times New Roman" w:hAnsi="Times New Roman" w:eastAsia="仿宋_GB2312" w:cs="仿宋_GB2312"/>
                <w:strike w:val="0"/>
                <w:color w:val="auto"/>
                <w:sz w:val="21"/>
                <w:szCs w:val="21"/>
                <w:highlight w:val="none"/>
              </w:rPr>
              <w:t>第三十八条</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企业未依照本法规定公开其执行的标准的，由标准化行政主管部门责令限期改正；逾期不改正的，在标准信息公共服务平台上公示。</w:t>
            </w:r>
          </w:p>
        </w:tc>
      </w:tr>
      <w:tr w14:paraId="0409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4" w:hRule="atLeast"/>
          <w:jc w:val="center"/>
        </w:trPr>
        <w:tc>
          <w:tcPr>
            <w:tcW w:w="307" w:type="pct"/>
            <w:tcBorders>
              <w:top w:val="single" w:color="auto" w:sz="4" w:space="0"/>
              <w:left w:val="single" w:color="auto" w:sz="4" w:space="0"/>
              <w:bottom w:val="single" w:color="auto" w:sz="4" w:space="0"/>
              <w:right w:val="single" w:color="auto" w:sz="4" w:space="0"/>
            </w:tcBorders>
            <w:noWrap w:val="0"/>
            <w:vAlign w:val="center"/>
          </w:tcPr>
          <w:p w14:paraId="1C132875">
            <w:pPr>
              <w:widowControl/>
              <w:spacing w:line="280" w:lineRule="exact"/>
              <w:jc w:val="center"/>
              <w:rPr>
                <w:rFonts w:hint="default" w:ascii="Times New Roman" w:hAnsi="Times New Roman" w:eastAsia="仿宋_GB2312" w:cs="仿宋_GB2312"/>
                <w:b w:val="0"/>
                <w:bCs w:val="0"/>
                <w:strike w:val="0"/>
                <w:color w:val="auto"/>
                <w:sz w:val="21"/>
                <w:szCs w:val="21"/>
                <w:highlight w:val="none"/>
                <w:lang w:val="en-US" w:eastAsia="zh-CN"/>
              </w:rPr>
            </w:pPr>
            <w:r>
              <w:rPr>
                <w:rFonts w:hint="eastAsia" w:ascii="Times New Roman" w:hAnsi="Times New Roman" w:eastAsia="仿宋_GB2312" w:cs="仿宋_GB2312"/>
                <w:b w:val="0"/>
                <w:bCs w:val="0"/>
                <w:strike w:val="0"/>
                <w:color w:val="auto"/>
                <w:sz w:val="21"/>
                <w:szCs w:val="21"/>
                <w:highlight w:val="none"/>
                <w:lang w:val="en-US" w:eastAsia="zh-CN"/>
              </w:rPr>
              <w:t>50</w:t>
            </w:r>
          </w:p>
        </w:tc>
        <w:tc>
          <w:tcPr>
            <w:tcW w:w="898" w:type="pct"/>
            <w:noWrap w:val="0"/>
            <w:vAlign w:val="center"/>
          </w:tcPr>
          <w:p w14:paraId="40F65CEC">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eastAsia="zh-CN"/>
              </w:rPr>
            </w:pPr>
            <w:r>
              <w:rPr>
                <w:rFonts w:hint="eastAsia" w:ascii="Times New Roman" w:hAnsi="Times New Roman" w:eastAsia="仿宋_GB2312" w:cs="仿宋_GB2312"/>
                <w:strike w:val="0"/>
                <w:color w:val="auto"/>
                <w:sz w:val="21"/>
                <w:szCs w:val="21"/>
                <w:highlight w:val="none"/>
                <w:lang w:eastAsia="zh-CN"/>
              </w:rPr>
              <w:t>广告发布者以弹出等形式发布互联网广告，或启动互联网应用程序展示、发布开屏广告，未显著标明关闭标志确保一键关闭的</w:t>
            </w:r>
          </w:p>
        </w:tc>
        <w:tc>
          <w:tcPr>
            <w:tcW w:w="789" w:type="pct"/>
            <w:noWrap w:val="0"/>
            <w:vAlign w:val="center"/>
          </w:tcPr>
          <w:p w14:paraId="6B179AA8">
            <w:pPr>
              <w:keepNext w:val="0"/>
              <w:keepLines w:val="0"/>
              <w:pageBreakBefore w:val="0"/>
              <w:widowControl/>
              <w:spacing w:line="280" w:lineRule="exact"/>
              <w:jc w:val="left"/>
              <w:rPr>
                <w:rFonts w:hint="eastAsia" w:ascii="Times New Roman" w:hAnsi="Times New Roman" w:eastAsia="仿宋_GB2312" w:cs="仿宋_GB2312"/>
                <w:strike w:val="0"/>
                <w:color w:val="auto"/>
                <w:sz w:val="21"/>
                <w:szCs w:val="21"/>
                <w:highlight w:val="none"/>
                <w:lang w:val="en-US" w:eastAsia="zh-CN" w:bidi="ar-SA"/>
              </w:rPr>
            </w:pPr>
            <w:r>
              <w:rPr>
                <w:rFonts w:hint="eastAsia" w:ascii="Times New Roman" w:hAnsi="Times New Roman" w:eastAsia="仿宋_GB2312" w:cs="仿宋_GB2312"/>
                <w:strike w:val="0"/>
                <w:color w:val="auto"/>
                <w:sz w:val="21"/>
                <w:szCs w:val="21"/>
                <w:highlight w:val="none"/>
                <w:lang w:eastAsia="zh-CN"/>
              </w:rPr>
              <w:t>主动改正或</w:t>
            </w:r>
            <w:r>
              <w:rPr>
                <w:rFonts w:hint="eastAsia" w:ascii="Times New Roman" w:hAnsi="Times New Roman" w:eastAsia="仿宋_GB2312" w:cs="仿宋_GB2312"/>
                <w:strike w:val="0"/>
                <w:color w:val="auto"/>
                <w:sz w:val="21"/>
                <w:szCs w:val="21"/>
                <w:highlight w:val="none"/>
              </w:rPr>
              <w:t>在责令改正限期内改正的</w:t>
            </w:r>
          </w:p>
        </w:tc>
        <w:tc>
          <w:tcPr>
            <w:tcW w:w="3004" w:type="pct"/>
            <w:noWrap w:val="0"/>
            <w:vAlign w:val="center"/>
          </w:tcPr>
          <w:p w14:paraId="1580F02E">
            <w:pPr>
              <w:keepNext w:val="0"/>
              <w:keepLines w:val="0"/>
              <w:pageBreakBefore w:val="0"/>
              <w:widowControl/>
              <w:spacing w:line="320" w:lineRule="exact"/>
              <w:jc w:val="left"/>
              <w:rPr>
                <w:rStyle w:val="185"/>
                <w:rFonts w:hint="eastAsia" w:ascii="Times New Roman" w:hAnsi="Times New Roman" w:eastAsia="仿宋_GB2312" w:cs="仿宋_GB2312"/>
                <w:b/>
                <w:bCs/>
                <w:strike w:val="0"/>
                <w:color w:val="auto"/>
                <w:sz w:val="21"/>
                <w:szCs w:val="21"/>
                <w:highlight w:val="none"/>
                <w:lang w:eastAsia="zh-CN"/>
              </w:rPr>
            </w:pPr>
            <w:r>
              <w:rPr>
                <w:rStyle w:val="185"/>
                <w:rFonts w:hint="eastAsia" w:ascii="Times New Roman" w:hAnsi="Times New Roman" w:eastAsia="仿宋_GB2312" w:cs="仿宋_GB2312"/>
                <w:b/>
                <w:bCs/>
                <w:strike w:val="0"/>
                <w:color w:val="auto"/>
                <w:sz w:val="21"/>
                <w:szCs w:val="21"/>
                <w:highlight w:val="none"/>
                <w:lang w:eastAsia="zh-CN"/>
              </w:rPr>
              <w:t>《互联网广告管理办法》</w:t>
            </w:r>
          </w:p>
          <w:p w14:paraId="331F3BA8">
            <w:pPr>
              <w:keepNext w:val="0"/>
              <w:keepLines w:val="0"/>
              <w:pageBreakBefore w:val="0"/>
              <w:widowControl/>
              <w:spacing w:line="320" w:lineRule="exact"/>
              <w:ind w:firstLine="420"/>
              <w:jc w:val="left"/>
              <w:rPr>
                <w:rStyle w:val="185"/>
                <w:rFonts w:hint="eastAsia" w:ascii="Times New Roman" w:hAnsi="Times New Roman" w:eastAsia="仿宋_GB2312" w:cs="仿宋_GB2312"/>
                <w:strike w:val="0"/>
                <w:color w:val="auto"/>
                <w:sz w:val="21"/>
                <w:szCs w:val="21"/>
                <w:highlight w:val="none"/>
              </w:rPr>
            </w:pPr>
            <w:r>
              <w:rPr>
                <w:rStyle w:val="185"/>
                <w:rFonts w:hint="eastAsia" w:ascii="Times New Roman" w:hAnsi="Times New Roman" w:eastAsia="仿宋_GB2312" w:cs="仿宋_GB2312"/>
                <w:strike w:val="0"/>
                <w:color w:val="auto"/>
                <w:sz w:val="21"/>
                <w:szCs w:val="21"/>
                <w:highlight w:val="none"/>
              </w:rPr>
              <w:t>第二十六条</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违反本办法第十条规定，以弹出等形式发布互联网广告，未显著标明关闭标志，确保一键关闭的，依照广告法第六十二条第二款规定予以处罚。广告发布者实施前款规定行为的，由县级以上市场监督管理部门责令改正，拒不改正的，处五千元以上三万元以下的罚款。</w:t>
            </w:r>
          </w:p>
          <w:p w14:paraId="633B67D1">
            <w:pPr>
              <w:keepNext w:val="0"/>
              <w:keepLines w:val="0"/>
              <w:pageBreakBefore w:val="0"/>
              <w:widowControl/>
              <w:spacing w:line="320" w:lineRule="exact"/>
              <w:ind w:firstLine="420"/>
              <w:jc w:val="left"/>
              <w:rPr>
                <w:rStyle w:val="184"/>
                <w:rFonts w:hint="eastAsia" w:ascii="Times New Roman" w:hAnsi="Times New Roman" w:eastAsia="仿宋_GB2312" w:cs="仿宋_GB2312"/>
                <w:strike w:val="0"/>
                <w:color w:val="auto"/>
                <w:sz w:val="21"/>
                <w:szCs w:val="21"/>
                <w:highlight w:val="none"/>
              </w:rPr>
            </w:pPr>
            <w:r>
              <w:rPr>
                <w:rStyle w:val="185"/>
                <w:rFonts w:hint="eastAsia" w:ascii="Times New Roman" w:hAnsi="Times New Roman" w:eastAsia="仿宋_GB2312" w:cs="仿宋_GB2312"/>
                <w:strike w:val="0"/>
                <w:color w:val="auto"/>
                <w:sz w:val="21"/>
                <w:szCs w:val="21"/>
                <w:highlight w:val="none"/>
              </w:rPr>
              <w:t>第十条</w:t>
            </w:r>
            <w:r>
              <w:rPr>
                <w:rStyle w:val="185"/>
                <w:rFonts w:hint="eastAsia" w:eastAsia="仿宋_GB2312" w:cs="仿宋_GB2312"/>
                <w:strike w:val="0"/>
                <w:color w:val="auto"/>
                <w:sz w:val="21"/>
                <w:szCs w:val="21"/>
                <w:highlight w:val="none"/>
                <w:lang w:eastAsia="zh-CN"/>
              </w:rPr>
              <w:t xml:space="preserve"> </w:t>
            </w:r>
            <w:r>
              <w:rPr>
                <w:rStyle w:val="185"/>
                <w:rFonts w:hint="eastAsia" w:eastAsia="仿宋_GB2312" w:cs="仿宋_GB2312"/>
                <w:strike w:val="0"/>
                <w:color w:val="auto"/>
                <w:sz w:val="21"/>
                <w:szCs w:val="21"/>
                <w:highlight w:val="none"/>
                <w:lang w:val="en-US" w:eastAsia="zh-CN"/>
              </w:rPr>
              <w:t xml:space="preserve"> </w:t>
            </w:r>
            <w:r>
              <w:rPr>
                <w:rStyle w:val="185"/>
                <w:rFonts w:hint="eastAsia" w:ascii="Times New Roman" w:hAnsi="Times New Roman" w:eastAsia="仿宋_GB2312" w:cs="仿宋_GB2312"/>
                <w:strike w:val="0"/>
                <w:color w:val="auto"/>
                <w:sz w:val="21"/>
                <w:szCs w:val="21"/>
                <w:highlight w:val="none"/>
              </w:rPr>
              <w:t>以弹出等形式发布互联网广告，广告主、广告发布者应当显著标明关闭标志，确保一键关闭，不得有下列情形：（一）没有关闭标志或者计时结束才能关闭广告；（二）关闭标志虚假、不可清晰辨识或者难以定位等，为关闭广告设置障碍；（三）关闭广告须经两次以上点击；（四）在浏览同一页面、同一文档过程中，关闭后继续弹出广告，影响用户正常使用网络；（五）其他影响一键关闭的行为。启动互联网应用程序时展示、发布的开屏广告适用前款规定。</w:t>
            </w:r>
          </w:p>
        </w:tc>
      </w:tr>
    </w:tbl>
    <w:p w14:paraId="512A30EE">
      <w:pPr>
        <w:keepNext w:val="0"/>
        <w:keepLines w:val="0"/>
        <w:pageBreakBefore w:val="0"/>
        <w:widowControl/>
        <w:numPr>
          <w:ilvl w:val="0"/>
          <w:numId w:val="0"/>
        </w:numPr>
        <w:spacing w:line="620" w:lineRule="exact"/>
        <w:ind w:left="0" w:firstLine="641"/>
        <w:jc w:val="both"/>
        <w:rPr>
          <w:rStyle w:val="184"/>
          <w:rFonts w:hint="default" w:ascii="Times New Roman" w:hAnsi="Times New Roman" w:eastAsia="CESI黑体-GB2312" w:cs="Times New Roman"/>
          <w:b w:val="0"/>
          <w:bCs w:val="0"/>
          <w:color w:val="auto"/>
          <w:sz w:val="32"/>
          <w:szCs w:val="32"/>
          <w:highlight w:val="none"/>
          <w:lang w:eastAsia="zh-CN"/>
        </w:rPr>
      </w:pPr>
      <w:r>
        <w:rPr>
          <w:rStyle w:val="184"/>
          <w:rFonts w:hint="default" w:ascii="Times New Roman" w:hAnsi="Times New Roman" w:eastAsia="CESI黑体-GB2312" w:cs="Times New Roman"/>
          <w:b w:val="0"/>
          <w:bCs w:val="0"/>
          <w:color w:val="auto"/>
          <w:sz w:val="32"/>
          <w:szCs w:val="32"/>
          <w:highlight w:val="none"/>
          <w:lang w:eastAsia="zh-CN"/>
        </w:rPr>
        <w:t>二、下列</w:t>
      </w:r>
      <w:r>
        <w:rPr>
          <w:rStyle w:val="184"/>
          <w:rFonts w:hint="default" w:ascii="Times New Roman" w:hAnsi="Times New Roman" w:eastAsia="CESI黑体-GB2312" w:cs="Times New Roman"/>
          <w:b w:val="0"/>
          <w:bCs w:val="0"/>
          <w:color w:val="auto"/>
          <w:sz w:val="32"/>
          <w:szCs w:val="32"/>
          <w:highlight w:val="none"/>
          <w:lang w:val="en-US" w:eastAsia="zh-CN"/>
        </w:rPr>
        <w:t>66个处罚事项</w:t>
      </w:r>
      <w:r>
        <w:rPr>
          <w:rStyle w:val="184"/>
          <w:rFonts w:hint="eastAsia" w:eastAsia="CESI黑体-GB2312" w:cs="Times New Roman"/>
          <w:b w:val="0"/>
          <w:bCs w:val="0"/>
          <w:color w:val="auto"/>
          <w:sz w:val="32"/>
          <w:szCs w:val="32"/>
          <w:highlight w:val="none"/>
          <w:lang w:val="en-US" w:eastAsia="zh-CN"/>
        </w:rPr>
        <w:t>，</w:t>
      </w:r>
      <w:r>
        <w:rPr>
          <w:rStyle w:val="184"/>
          <w:rFonts w:hint="default" w:ascii="Times New Roman" w:hAnsi="Times New Roman" w:eastAsia="CESI黑体-GB2312" w:cs="Times New Roman"/>
          <w:b w:val="0"/>
          <w:bCs w:val="0"/>
          <w:color w:val="auto"/>
          <w:sz w:val="32"/>
          <w:szCs w:val="32"/>
          <w:highlight w:val="none"/>
          <w:lang w:val="en-US" w:eastAsia="zh-CN"/>
        </w:rPr>
        <w:t>违法行为</w:t>
      </w:r>
      <w:r>
        <w:rPr>
          <w:rStyle w:val="184"/>
          <w:rFonts w:hint="default" w:ascii="Times New Roman" w:hAnsi="Times New Roman" w:eastAsia="CESI黑体-GB2312" w:cs="Times New Roman"/>
          <w:b w:val="0"/>
          <w:bCs w:val="0"/>
          <w:color w:val="auto"/>
          <w:sz w:val="32"/>
          <w:szCs w:val="32"/>
          <w:highlight w:val="none"/>
          <w:lang w:eastAsia="zh-CN"/>
        </w:rPr>
        <w:t>符合相应条件的，依法不予行政处罚</w:t>
      </w:r>
    </w:p>
    <w:p w14:paraId="4CEBA705">
      <w:pPr>
        <w:keepNext w:val="0"/>
        <w:keepLines w:val="0"/>
        <w:pageBreakBefore w:val="0"/>
        <w:widowControl/>
        <w:numPr>
          <w:ilvl w:val="0"/>
          <w:numId w:val="0"/>
        </w:numPr>
        <w:spacing w:line="620" w:lineRule="exact"/>
        <w:ind w:firstLine="641"/>
        <w:jc w:val="both"/>
        <w:rPr>
          <w:rStyle w:val="184"/>
          <w:rFonts w:hint="default" w:ascii="Times New Roman" w:hAnsi="Times New Roman" w:eastAsia="CESI黑体-GB2312" w:cs="Times New Roman"/>
          <w:b w:val="0"/>
          <w:bCs w:val="0"/>
          <w:color w:val="auto"/>
          <w:sz w:val="32"/>
          <w:szCs w:val="32"/>
          <w:highlight w:val="none"/>
          <w:lang w:val="en-US" w:eastAsia="zh-CN"/>
        </w:rPr>
      </w:pPr>
      <w:r>
        <w:rPr>
          <w:rStyle w:val="184"/>
          <w:rFonts w:hint="default" w:ascii="Times New Roman" w:hAnsi="Times New Roman" w:eastAsia="CESI黑体-GB2312" w:cs="Times New Roman"/>
          <w:b w:val="0"/>
          <w:bCs w:val="0"/>
          <w:color w:val="auto"/>
          <w:sz w:val="32"/>
          <w:szCs w:val="32"/>
          <w:highlight w:val="none"/>
          <w:lang w:val="en-US" w:eastAsia="zh-CN"/>
        </w:rPr>
        <w:t>规范适用“首违不罚”情形，</w:t>
      </w:r>
      <w:r>
        <w:rPr>
          <w:rStyle w:val="184"/>
          <w:rFonts w:hint="eastAsia" w:eastAsia="CESI黑体-GB2312" w:cs="Times New Roman"/>
          <w:b w:val="0"/>
          <w:bCs w:val="0"/>
          <w:color w:val="auto"/>
          <w:sz w:val="32"/>
          <w:szCs w:val="32"/>
          <w:highlight w:val="none"/>
          <w:lang w:val="en-US" w:eastAsia="zh-CN"/>
        </w:rPr>
        <w:t>要</w:t>
      </w:r>
      <w:r>
        <w:rPr>
          <w:rStyle w:val="184"/>
          <w:rFonts w:hint="default" w:ascii="Times New Roman" w:hAnsi="Times New Roman" w:eastAsia="CESI黑体-GB2312" w:cs="Times New Roman"/>
          <w:b w:val="0"/>
          <w:bCs w:val="0"/>
          <w:color w:val="auto"/>
          <w:sz w:val="32"/>
          <w:szCs w:val="32"/>
          <w:highlight w:val="none"/>
          <w:lang w:val="en-US" w:eastAsia="zh-CN"/>
        </w:rPr>
        <w:t>通过查询企业信息公示系统、案件办理业务系统、案件台账等方式，在结案报告或案件审批表中具体说明确认属于“首次”，作为不予处罚的证据入卷归档。</w:t>
      </w:r>
    </w:p>
    <w:p w14:paraId="21B14713">
      <w:pPr>
        <w:keepNext w:val="0"/>
        <w:keepLines w:val="0"/>
        <w:pageBreakBefore w:val="0"/>
        <w:widowControl/>
        <w:numPr>
          <w:ilvl w:val="0"/>
          <w:numId w:val="0"/>
        </w:numPr>
        <w:spacing w:line="620" w:lineRule="exact"/>
        <w:ind w:firstLine="641"/>
        <w:jc w:val="both"/>
        <w:rPr>
          <w:rStyle w:val="184"/>
          <w:rFonts w:hint="default" w:ascii="Times New Roman" w:hAnsi="Times New Roman" w:eastAsia="CESI黑体-GB2312" w:cs="Times New Roman"/>
          <w:b w:val="0"/>
          <w:bCs w:val="0"/>
          <w:color w:val="auto"/>
          <w:sz w:val="32"/>
          <w:szCs w:val="32"/>
          <w:highlight w:val="none"/>
          <w:lang w:val="en-US" w:eastAsia="zh-CN"/>
        </w:rPr>
      </w:pPr>
      <w:r>
        <w:rPr>
          <w:rStyle w:val="184"/>
          <w:rFonts w:hint="default" w:ascii="Times New Roman" w:hAnsi="Times New Roman" w:eastAsia="CESI黑体-GB2312" w:cs="Times New Roman"/>
          <w:b w:val="0"/>
          <w:bCs w:val="0"/>
          <w:color w:val="auto"/>
          <w:sz w:val="32"/>
          <w:szCs w:val="32"/>
          <w:highlight w:val="none"/>
          <w:lang w:val="en-US" w:eastAsia="zh-CN"/>
        </w:rPr>
        <w:t>各设区市市场监督管理局可以根据当地实际，对“首次”“情节轻微”“时间较短”“后果轻微”“改正期限”等条件作出具体规定。</w:t>
      </w:r>
    </w:p>
    <w:tbl>
      <w:tblPr>
        <w:tblStyle w:val="30"/>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609"/>
        <w:gridCol w:w="1412"/>
        <w:gridCol w:w="5356"/>
      </w:tblGrid>
      <w:tr w14:paraId="22C6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blHeader/>
          <w:jc w:val="center"/>
        </w:trPr>
        <w:tc>
          <w:tcPr>
            <w:tcW w:w="307" w:type="pct"/>
            <w:noWrap w:val="0"/>
            <w:vAlign w:val="center"/>
          </w:tcPr>
          <w:p w14:paraId="2E3369F6">
            <w:pPr>
              <w:widowControl/>
              <w:spacing w:line="280" w:lineRule="exact"/>
              <w:jc w:val="center"/>
              <w:rPr>
                <w:rFonts w:hint="default" w:ascii="Times New Roman" w:hAnsi="Times New Roman" w:eastAsia="CESI黑体-GB2312" w:cs="Times New Roman"/>
                <w:b w:val="0"/>
                <w:bCs w:val="0"/>
                <w:color w:val="auto"/>
                <w:sz w:val="21"/>
                <w:szCs w:val="21"/>
                <w:highlight w:val="none"/>
              </w:rPr>
            </w:pPr>
            <w:r>
              <w:rPr>
                <w:rFonts w:hint="default" w:ascii="Times New Roman" w:hAnsi="Times New Roman" w:eastAsia="CESI黑体-GB2312" w:cs="Times New Roman"/>
                <w:b w:val="0"/>
                <w:bCs w:val="0"/>
                <w:color w:val="auto"/>
                <w:sz w:val="21"/>
                <w:szCs w:val="21"/>
                <w:highlight w:val="none"/>
                <w:lang w:eastAsia="zh-CN"/>
              </w:rPr>
              <w:t>序号</w:t>
            </w:r>
          </w:p>
        </w:tc>
        <w:tc>
          <w:tcPr>
            <w:tcW w:w="901" w:type="pct"/>
            <w:noWrap w:val="0"/>
            <w:vAlign w:val="center"/>
          </w:tcPr>
          <w:p w14:paraId="0EE1D6E5">
            <w:pPr>
              <w:widowControl/>
              <w:spacing w:line="280" w:lineRule="exact"/>
              <w:jc w:val="center"/>
              <w:rPr>
                <w:rFonts w:hint="default" w:ascii="Times New Roman" w:hAnsi="Times New Roman" w:eastAsia="CESI黑体-GB2312" w:cs="Times New Roman"/>
                <w:b w:val="0"/>
                <w:bCs w:val="0"/>
                <w:color w:val="auto"/>
                <w:sz w:val="21"/>
                <w:szCs w:val="21"/>
                <w:highlight w:val="none"/>
              </w:rPr>
            </w:pPr>
            <w:r>
              <w:rPr>
                <w:rFonts w:hint="default" w:ascii="Times New Roman" w:hAnsi="Times New Roman" w:eastAsia="CESI黑体-GB2312" w:cs="Times New Roman"/>
                <w:b w:val="0"/>
                <w:bCs w:val="0"/>
                <w:color w:val="auto"/>
                <w:sz w:val="21"/>
                <w:szCs w:val="21"/>
                <w:highlight w:val="none"/>
              </w:rPr>
              <w:t>违法行为</w:t>
            </w:r>
          </w:p>
          <w:p w14:paraId="5B09E712">
            <w:pPr>
              <w:widowControl/>
              <w:spacing w:line="280" w:lineRule="exact"/>
              <w:jc w:val="center"/>
              <w:rPr>
                <w:rFonts w:hint="default" w:ascii="Times New Roman" w:hAnsi="Times New Roman" w:eastAsia="CESI黑体-GB2312" w:cs="Times New Roman"/>
                <w:b w:val="0"/>
                <w:bCs w:val="0"/>
                <w:color w:val="auto"/>
                <w:sz w:val="21"/>
                <w:szCs w:val="21"/>
                <w:highlight w:val="none"/>
              </w:rPr>
            </w:pPr>
            <w:r>
              <w:rPr>
                <w:rFonts w:hint="default" w:ascii="Times New Roman" w:hAnsi="Times New Roman" w:eastAsia="CESI黑体-GB2312" w:cs="Times New Roman"/>
                <w:b w:val="0"/>
                <w:bCs w:val="0"/>
                <w:color w:val="auto"/>
                <w:sz w:val="21"/>
                <w:szCs w:val="21"/>
                <w:highlight w:val="none"/>
              </w:rPr>
              <w:t>（列举）</w:t>
            </w:r>
          </w:p>
        </w:tc>
        <w:tc>
          <w:tcPr>
            <w:tcW w:w="790" w:type="pct"/>
            <w:noWrap w:val="0"/>
            <w:vAlign w:val="center"/>
          </w:tcPr>
          <w:p w14:paraId="768C30C1">
            <w:pPr>
              <w:widowControl/>
              <w:spacing w:line="280" w:lineRule="exact"/>
              <w:jc w:val="center"/>
              <w:rPr>
                <w:rFonts w:hint="default" w:ascii="Times New Roman" w:hAnsi="Times New Roman" w:eastAsia="CESI黑体-GB2312" w:cs="Times New Roman"/>
                <w:b w:val="0"/>
                <w:bCs w:val="0"/>
                <w:color w:val="auto"/>
                <w:sz w:val="21"/>
                <w:szCs w:val="21"/>
                <w:highlight w:val="none"/>
              </w:rPr>
            </w:pPr>
            <w:r>
              <w:rPr>
                <w:rFonts w:hint="default" w:ascii="Times New Roman" w:hAnsi="Times New Roman" w:eastAsia="CESI黑体-GB2312" w:cs="Times New Roman"/>
                <w:b w:val="0"/>
                <w:bCs w:val="0"/>
                <w:color w:val="auto"/>
                <w:sz w:val="21"/>
                <w:szCs w:val="21"/>
                <w:highlight w:val="none"/>
                <w:lang w:eastAsia="zh-CN"/>
              </w:rPr>
              <w:t>不</w:t>
            </w:r>
            <w:r>
              <w:rPr>
                <w:rFonts w:hint="default" w:ascii="Times New Roman" w:hAnsi="Times New Roman" w:eastAsia="CESI黑体-GB2312" w:cs="Times New Roman"/>
                <w:b w:val="0"/>
                <w:bCs w:val="0"/>
                <w:color w:val="auto"/>
                <w:sz w:val="21"/>
                <w:szCs w:val="21"/>
                <w:highlight w:val="none"/>
              </w:rPr>
              <w:t>予处罚</w:t>
            </w:r>
          </w:p>
          <w:p w14:paraId="03CE67D2">
            <w:pPr>
              <w:widowControl/>
              <w:spacing w:line="280" w:lineRule="exact"/>
              <w:jc w:val="center"/>
              <w:rPr>
                <w:rFonts w:hint="default" w:ascii="Times New Roman" w:hAnsi="Times New Roman" w:eastAsia="CESI黑体-GB2312" w:cs="Times New Roman"/>
                <w:b w:val="0"/>
                <w:bCs w:val="0"/>
                <w:color w:val="auto"/>
                <w:sz w:val="21"/>
                <w:szCs w:val="21"/>
                <w:highlight w:val="none"/>
              </w:rPr>
            </w:pPr>
            <w:r>
              <w:rPr>
                <w:rFonts w:hint="default" w:ascii="Times New Roman" w:hAnsi="Times New Roman" w:eastAsia="CESI黑体-GB2312" w:cs="Times New Roman"/>
                <w:b w:val="0"/>
                <w:bCs w:val="0"/>
                <w:color w:val="auto"/>
                <w:sz w:val="21"/>
                <w:szCs w:val="21"/>
                <w:highlight w:val="none"/>
              </w:rPr>
              <w:t>条件</w:t>
            </w:r>
          </w:p>
        </w:tc>
        <w:tc>
          <w:tcPr>
            <w:tcW w:w="3000" w:type="pct"/>
            <w:noWrap w:val="0"/>
            <w:vAlign w:val="center"/>
          </w:tcPr>
          <w:p w14:paraId="164CCA55">
            <w:pPr>
              <w:widowControl/>
              <w:spacing w:line="280" w:lineRule="exact"/>
              <w:jc w:val="center"/>
              <w:rPr>
                <w:rStyle w:val="184"/>
                <w:rFonts w:hint="default" w:ascii="Times New Roman" w:hAnsi="Times New Roman" w:eastAsia="CESI黑体-GB2312" w:cs="Times New Roman"/>
                <w:b w:val="0"/>
                <w:bCs w:val="0"/>
                <w:color w:val="auto"/>
                <w:sz w:val="21"/>
                <w:szCs w:val="21"/>
                <w:highlight w:val="none"/>
              </w:rPr>
            </w:pPr>
            <w:r>
              <w:rPr>
                <w:rFonts w:hint="default" w:ascii="Times New Roman" w:hAnsi="Times New Roman" w:eastAsia="CESI黑体-GB2312" w:cs="Times New Roman"/>
                <w:b w:val="0"/>
                <w:bCs w:val="0"/>
                <w:color w:val="auto"/>
                <w:sz w:val="21"/>
                <w:szCs w:val="21"/>
                <w:highlight w:val="none"/>
              </w:rPr>
              <w:t>法律依据</w:t>
            </w:r>
          </w:p>
        </w:tc>
      </w:tr>
      <w:tr w14:paraId="0FC6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atLeast"/>
          <w:jc w:val="center"/>
        </w:trPr>
        <w:tc>
          <w:tcPr>
            <w:tcW w:w="307" w:type="pct"/>
            <w:noWrap w:val="0"/>
            <w:vAlign w:val="center"/>
          </w:tcPr>
          <w:p w14:paraId="7B7125FC">
            <w:pPr>
              <w:widowControl/>
              <w:tabs>
                <w:tab w:val="left" w:pos="439"/>
              </w:tabs>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1</w:t>
            </w:r>
          </w:p>
        </w:tc>
        <w:tc>
          <w:tcPr>
            <w:tcW w:w="901" w:type="pct"/>
            <w:noWrap w:val="0"/>
            <w:vAlign w:val="center"/>
          </w:tcPr>
          <w:p w14:paraId="64163F7F">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产品或其包装上的标识不符合《产品质量法》第二十七条规定的</w:t>
            </w:r>
          </w:p>
        </w:tc>
        <w:tc>
          <w:tcPr>
            <w:tcW w:w="790" w:type="pct"/>
            <w:noWrap w:val="0"/>
            <w:vAlign w:val="center"/>
          </w:tcPr>
          <w:p w14:paraId="64526C21">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情节轻微，没有造成危害后果，</w:t>
            </w:r>
            <w:r>
              <w:rPr>
                <w:rFonts w:hint="eastAsia" w:ascii="Times New Roman" w:hAnsi="Times New Roman" w:eastAsia="仿宋_GB2312" w:cs="仿宋_GB2312"/>
                <w:color w:val="auto"/>
                <w:sz w:val="21"/>
                <w:szCs w:val="21"/>
                <w:highlight w:val="none"/>
                <w:lang w:eastAsia="zh-CN"/>
              </w:rPr>
              <w:t>主动改正或在责令改正</w:t>
            </w:r>
            <w:r>
              <w:rPr>
                <w:rFonts w:hint="eastAsia" w:ascii="Times New Roman" w:hAnsi="Times New Roman" w:eastAsia="仿宋_GB2312" w:cs="仿宋_GB2312"/>
                <w:color w:val="auto"/>
                <w:sz w:val="21"/>
                <w:szCs w:val="21"/>
                <w:highlight w:val="none"/>
              </w:rPr>
              <w:t>期限内改正的</w:t>
            </w:r>
          </w:p>
        </w:tc>
        <w:tc>
          <w:tcPr>
            <w:tcW w:w="3000" w:type="pct"/>
            <w:noWrap w:val="0"/>
            <w:vAlign w:val="center"/>
          </w:tcPr>
          <w:p w14:paraId="718C6119">
            <w:pPr>
              <w:keepNext w:val="0"/>
              <w:keepLines w:val="0"/>
              <w:pageBreakBefore w:val="0"/>
              <w:widowControl/>
              <w:spacing w:line="260" w:lineRule="exac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《中华人民共和国产品质量法》</w:t>
            </w:r>
            <w:r>
              <w:rPr>
                <w:rStyle w:val="185"/>
                <w:rFonts w:hint="eastAsia" w:ascii="Times New Roman" w:hAnsi="Times New Roman" w:eastAsia="仿宋_GB2312" w:cs="仿宋_GB2312"/>
                <w:color w:val="auto"/>
                <w:sz w:val="21"/>
                <w:szCs w:val="21"/>
                <w:highlight w:val="none"/>
              </w:rPr>
              <w:t>第二十七条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产品或者其包装上的标识必须真实，并符合下列要求：</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一</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有产品质量检验合格证明；</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二</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有中文标明的产品名称、生产厂厂名和厂址；</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三</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根据产品的特点和使用要求，需要标明产品规格、等级、所含主要成份的名称和含量的，用中文相应予以标明；需要事先让消费者知晓的，应当在外包装上标明，或者预先向消费者提供有关资料；</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四</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限期使用的产品，应当在显著位置清晰地标明生产日期和安全使用期或者失效日期；</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五</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使用不当，容易造成产品本身损坏或者可能危及人身、财产安全的产品，应当有警示标志或者中文警示说明。裸装的食品和其他根据产品的特点难以附加标识的裸装产品，可以不附加产品标识。</w:t>
            </w:r>
          </w:p>
          <w:p w14:paraId="318A8B5B">
            <w:pPr>
              <w:keepNext w:val="0"/>
              <w:keepLines w:val="0"/>
              <w:pageBreakBefore w:val="0"/>
              <w:widowControl/>
              <w:spacing w:line="260" w:lineRule="exact"/>
              <w:rPr>
                <w:rStyle w:val="184"/>
                <w:rFonts w:hint="eastAsia" w:ascii="Times New Roman" w:hAnsi="Times New Roman" w:eastAsia="仿宋_GB2312" w:cs="仿宋_GB2312"/>
                <w:color w:val="auto"/>
                <w:sz w:val="21"/>
                <w:szCs w:val="21"/>
                <w:highlight w:val="none"/>
              </w:rPr>
            </w:pPr>
            <w:r>
              <w:rPr>
                <w:rStyle w:val="185"/>
                <w:rFonts w:hint="eastAsia" w:ascii="Times New Roman" w:hAnsi="Times New Roman" w:eastAsia="仿宋_GB2312" w:cs="仿宋_GB2312"/>
                <w:color w:val="auto"/>
                <w:sz w:val="21"/>
                <w:szCs w:val="21"/>
                <w:highlight w:val="none"/>
              </w:rPr>
              <w:t xml:space="preserve">第五十四条 </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r>
      <w:tr w14:paraId="623C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307" w:type="pct"/>
            <w:noWrap w:val="0"/>
            <w:vAlign w:val="center"/>
          </w:tcPr>
          <w:p w14:paraId="4BA03393">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2</w:t>
            </w:r>
          </w:p>
        </w:tc>
        <w:tc>
          <w:tcPr>
            <w:tcW w:w="901" w:type="pct"/>
            <w:noWrap w:val="0"/>
            <w:vAlign w:val="center"/>
          </w:tcPr>
          <w:p w14:paraId="56FC47BC">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学生服使用单位未履行检查验收和记录义务或未按规定委托送检的</w:t>
            </w:r>
          </w:p>
        </w:tc>
        <w:tc>
          <w:tcPr>
            <w:tcW w:w="790" w:type="pct"/>
            <w:noWrap w:val="0"/>
            <w:vAlign w:val="center"/>
          </w:tcPr>
          <w:p w14:paraId="3E867762">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39DE25F0">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《纤维制品质量监督管理办法》</w:t>
            </w:r>
            <w:r>
              <w:rPr>
                <w:rStyle w:val="185"/>
                <w:rFonts w:hint="eastAsia" w:ascii="Times New Roman" w:hAnsi="Times New Roman" w:eastAsia="仿宋_GB2312" w:cs="仿宋_GB2312"/>
                <w:color w:val="auto"/>
                <w:sz w:val="21"/>
                <w:szCs w:val="21"/>
                <w:highlight w:val="none"/>
              </w:rPr>
              <w:t>第十九条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 xml:space="preserve"> 学生服使用单位应当提供质量合格的学生服。学生服使用单位应当履行检查验收和记录义务，验明并留存产品出厂检验报告，确认产品标识符合国家规定要求。学生服使用单位应当委托具有法定资质的检验检测机构对学生服进行检验。</w:t>
            </w:r>
          </w:p>
          <w:p w14:paraId="0120A59B">
            <w:pPr>
              <w:keepNext w:val="0"/>
              <w:keepLines w:val="0"/>
              <w:pageBreakBefore w:val="0"/>
              <w:widowControl/>
              <w:spacing w:line="280" w:lineRule="exact"/>
              <w:jc w:val="left"/>
              <w:rPr>
                <w:rFonts w:hint="eastAsia" w:ascii="Times New Roman" w:hAnsi="Times New Roman" w:eastAsia="仿宋_GB2312" w:cs="仿宋_GB2312"/>
                <w:b/>
                <w:bCs/>
                <w:color w:val="auto"/>
                <w:sz w:val="21"/>
                <w:szCs w:val="21"/>
                <w:highlight w:val="none"/>
              </w:rPr>
            </w:pPr>
            <w:r>
              <w:rPr>
                <w:rStyle w:val="185"/>
                <w:rFonts w:hint="eastAsia" w:ascii="Times New Roman" w:hAnsi="Times New Roman" w:eastAsia="仿宋_GB2312" w:cs="仿宋_GB2312"/>
                <w:color w:val="auto"/>
                <w:sz w:val="21"/>
                <w:szCs w:val="21"/>
                <w:highlight w:val="none"/>
              </w:rPr>
              <w:t>第三十四条：学生服使用单位违反本办法第十九条，未履行检查验收和记录义务或未按规定委托送检的，责令改正，并处以一万元以下罚款。</w:t>
            </w:r>
          </w:p>
        </w:tc>
      </w:tr>
      <w:tr w14:paraId="0CB0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3" w:hRule="atLeast"/>
          <w:jc w:val="center"/>
        </w:trPr>
        <w:tc>
          <w:tcPr>
            <w:tcW w:w="307" w:type="pct"/>
            <w:noWrap w:val="0"/>
            <w:vAlign w:val="center"/>
          </w:tcPr>
          <w:p w14:paraId="4CCB47EB">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3</w:t>
            </w:r>
          </w:p>
        </w:tc>
        <w:tc>
          <w:tcPr>
            <w:tcW w:w="901" w:type="pct"/>
            <w:noWrap w:val="0"/>
            <w:vAlign w:val="center"/>
          </w:tcPr>
          <w:p w14:paraId="256AE78F">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rPr>
            </w:pPr>
            <w:r>
              <w:rPr>
                <w:rFonts w:hint="eastAsia" w:ascii="Times New Roman" w:hAnsi="Times New Roman" w:eastAsia="仿宋_GB2312" w:cs="仿宋_GB2312"/>
                <w:color w:val="auto"/>
                <w:sz w:val="21"/>
                <w:szCs w:val="21"/>
                <w:highlight w:val="none"/>
              </w:rPr>
              <w:t>棉花经营者收购棉花时，不按照国家标准和技术规范排除异性纤维和其他有害物质后确定所收购棉花的类别、等级、数量，或者对所收购的超出国家规定水分标准的棉花不进行技术处理，或者对所收购的棉花不分类别、等级置放的</w:t>
            </w:r>
          </w:p>
        </w:tc>
        <w:tc>
          <w:tcPr>
            <w:tcW w:w="790" w:type="pct"/>
            <w:noWrap w:val="0"/>
            <w:vAlign w:val="center"/>
          </w:tcPr>
          <w:p w14:paraId="1E11236A">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678BFC74">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《棉花质量监督管理条例》</w:t>
            </w:r>
            <w:r>
              <w:rPr>
                <w:rStyle w:val="185"/>
                <w:rFonts w:hint="eastAsia" w:ascii="Times New Roman" w:hAnsi="Times New Roman" w:eastAsia="仿宋_GB2312" w:cs="仿宋_GB2312"/>
                <w:color w:val="auto"/>
                <w:sz w:val="21"/>
                <w:szCs w:val="21"/>
                <w:highlight w:val="none"/>
              </w:rPr>
              <w:t>第七条第二款：棉花经营者收购棉花时，应当按照国家标准和技术规范，排除异性纤维和其他有害物质后确定所收购棉花的类别、等级、数量；所收购的棉花超出国家规定水分标准的，应当进行晾晒、烘干等技术处理，保证棉花质量。第七条第三款：棉花经营者应当分类别、分等级置放所收购的棉花。</w:t>
            </w:r>
          </w:p>
          <w:p w14:paraId="25DD94D9">
            <w:pPr>
              <w:keepNext w:val="0"/>
              <w:keepLines w:val="0"/>
              <w:pageBreakBefore w:val="0"/>
              <w:widowControl/>
              <w:spacing w:line="280" w:lineRule="exact"/>
              <w:jc w:val="left"/>
              <w:rPr>
                <w:rFonts w:hint="eastAsia" w:ascii="Times New Roman" w:hAnsi="Times New Roman" w:eastAsia="仿宋_GB2312" w:cs="仿宋_GB2312"/>
                <w:b/>
                <w:bCs/>
                <w:strike/>
                <w:color w:val="auto"/>
                <w:sz w:val="21"/>
                <w:szCs w:val="21"/>
                <w:highlight w:val="none"/>
              </w:rPr>
            </w:pPr>
            <w:r>
              <w:rPr>
                <w:rStyle w:val="185"/>
                <w:rFonts w:hint="eastAsia" w:ascii="Times New Roman" w:hAnsi="Times New Roman" w:eastAsia="仿宋_GB2312" w:cs="仿宋_GB2312"/>
                <w:color w:val="auto"/>
                <w:sz w:val="21"/>
                <w:szCs w:val="21"/>
                <w:highlight w:val="none"/>
              </w:rPr>
              <w:t>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w:t>
            </w:r>
          </w:p>
        </w:tc>
      </w:tr>
      <w:tr w14:paraId="0026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8" w:hRule="atLeast"/>
          <w:jc w:val="center"/>
        </w:trPr>
        <w:tc>
          <w:tcPr>
            <w:tcW w:w="307" w:type="pct"/>
            <w:noWrap w:val="0"/>
            <w:vAlign w:val="center"/>
          </w:tcPr>
          <w:p w14:paraId="1C4736A3">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4</w:t>
            </w:r>
          </w:p>
        </w:tc>
        <w:tc>
          <w:tcPr>
            <w:tcW w:w="901" w:type="pct"/>
            <w:noWrap w:val="0"/>
            <w:vAlign w:val="center"/>
          </w:tcPr>
          <w:p w14:paraId="0BE39207">
            <w:pPr>
              <w:keepNext w:val="0"/>
              <w:keepLines w:val="0"/>
              <w:pageBreakBefore w:val="0"/>
              <w:widowControl/>
              <w:spacing w:line="320" w:lineRule="exact"/>
              <w:jc w:val="lef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茧丝经营者收购蚕茧时，不按相关标准、规范及要求收购、仪评蚕茧，或未按仪评结果确定蚕茧类别、等级、数量并书面告知交售者，或收购毛脚茧、过潮茧、统茧等有严重质量问题的蚕茧，或不分类别、分等级置放蚕茧的</w:t>
            </w:r>
          </w:p>
        </w:tc>
        <w:tc>
          <w:tcPr>
            <w:tcW w:w="790" w:type="pct"/>
            <w:noWrap w:val="0"/>
            <w:vAlign w:val="center"/>
          </w:tcPr>
          <w:p w14:paraId="6364C1EC">
            <w:pPr>
              <w:keepNext w:val="0"/>
              <w:keepLines w:val="0"/>
              <w:pageBreakBefore w:val="0"/>
              <w:widowControl/>
              <w:spacing w:line="320" w:lineRule="exact"/>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属于首次违法，情节轻微，在责令改正期限内及时改正的</w:t>
            </w:r>
          </w:p>
        </w:tc>
        <w:tc>
          <w:tcPr>
            <w:tcW w:w="3000" w:type="pct"/>
            <w:noWrap w:val="0"/>
            <w:vAlign w:val="center"/>
          </w:tcPr>
          <w:p w14:paraId="27B8E5DE">
            <w:pPr>
              <w:keepNext w:val="0"/>
              <w:keepLines w:val="0"/>
              <w:pageBreakBefore w:val="0"/>
              <w:widowControl/>
              <w:spacing w:line="320" w:lineRule="exact"/>
              <w:jc w:val="left"/>
              <w:rPr>
                <w:rStyle w:val="185"/>
                <w:rFonts w:hint="default" w:ascii="Times New Roman" w:hAnsi="Times New Roman" w:eastAsia="仿宋_GB2312" w:cs="Times New Roman"/>
                <w:color w:val="auto"/>
                <w:sz w:val="21"/>
                <w:szCs w:val="21"/>
                <w:highlight w:val="none"/>
              </w:rPr>
            </w:pPr>
            <w:r>
              <w:rPr>
                <w:rStyle w:val="184"/>
                <w:rFonts w:hint="default" w:ascii="Times New Roman" w:hAnsi="Times New Roman" w:eastAsia="仿宋_GB2312" w:cs="Times New Roman"/>
                <w:color w:val="auto"/>
                <w:sz w:val="21"/>
                <w:szCs w:val="21"/>
                <w:highlight w:val="none"/>
              </w:rPr>
              <w:t>《茧丝质量监督管理办法》</w:t>
            </w:r>
            <w:r>
              <w:rPr>
                <w:rStyle w:val="185"/>
                <w:rFonts w:hint="default" w:ascii="Times New Roman" w:hAnsi="Times New Roman" w:eastAsia="仿宋_GB2312" w:cs="Times New Roman"/>
                <w:color w:val="auto"/>
                <w:sz w:val="21"/>
                <w:szCs w:val="21"/>
                <w:highlight w:val="none"/>
              </w:rPr>
              <w:t xml:space="preserve">第九条 </w:t>
            </w:r>
            <w:r>
              <w:rPr>
                <w:rStyle w:val="185"/>
                <w:rFonts w:hint="default" w:ascii="Times New Roman" w:hAnsi="Times New Roman" w:eastAsia="仿宋_GB2312" w:cs="Times New Roman"/>
                <w:color w:val="auto"/>
                <w:sz w:val="21"/>
                <w:szCs w:val="21"/>
                <w:highlight w:val="none"/>
                <w:lang w:val="en-US" w:eastAsia="zh-CN"/>
              </w:rPr>
              <w:t xml:space="preserve"> </w:t>
            </w:r>
            <w:r>
              <w:rPr>
                <w:rStyle w:val="185"/>
                <w:rFonts w:hint="default" w:ascii="Times New Roman" w:hAnsi="Times New Roman" w:eastAsia="仿宋_GB2312" w:cs="Times New Roman"/>
                <w:color w:val="auto"/>
                <w:sz w:val="21"/>
                <w:szCs w:val="21"/>
                <w:highlight w:val="none"/>
              </w:rPr>
              <w:t>茧丝经营者收购蚕茧，必须符合下列要求：</w:t>
            </w:r>
          </w:p>
          <w:p w14:paraId="008F3E67">
            <w:pPr>
              <w:keepNext w:val="0"/>
              <w:keepLines w:val="0"/>
              <w:pageBreakBefore w:val="0"/>
              <w:widowControl/>
              <w:spacing w:line="320" w:lineRule="exact"/>
              <w:jc w:val="left"/>
              <w:rPr>
                <w:rStyle w:val="185"/>
                <w:rFonts w:hint="default" w:ascii="Times New Roman" w:hAnsi="Times New Roman" w:eastAsia="仿宋_GB2312" w:cs="Times New Roman"/>
                <w:color w:val="auto"/>
                <w:sz w:val="21"/>
                <w:szCs w:val="21"/>
                <w:highlight w:val="none"/>
              </w:rPr>
            </w:pPr>
            <w:r>
              <w:rPr>
                <w:rStyle w:val="185"/>
                <w:rFonts w:hint="default" w:ascii="Times New Roman" w:hAnsi="Times New Roman" w:eastAsia="仿宋_GB2312" w:cs="Times New Roman"/>
                <w:color w:val="auto"/>
                <w:sz w:val="21"/>
                <w:szCs w:val="21"/>
                <w:highlight w:val="none"/>
              </w:rPr>
              <w:t>（一）按照国家标准以及技术规范，保证收购蚕茧的质量；（二）按照国家标准以及技术规范，对收购的桑蚕鲜茧进行仪评；（三）根据仪评的结果真实确定所收购桑蚕鲜茧的类别、等级、数量，并在与交售者结算前以书面形式将仪评结果告知交售者；（四）不得收购毛脚茧、过潮茧、统茧等有严重质量问题的蚕茧；（五）不得伪造、变造仪评的数据或结论；（六）分类别、分等级置放所收购的蚕茧。</w:t>
            </w:r>
          </w:p>
          <w:p w14:paraId="30A47162">
            <w:pPr>
              <w:keepNext w:val="0"/>
              <w:keepLines w:val="0"/>
              <w:pageBreakBefore w:val="0"/>
              <w:widowControl/>
              <w:spacing w:line="320" w:lineRule="exact"/>
              <w:jc w:val="left"/>
              <w:rPr>
                <w:rFonts w:hint="default" w:ascii="Times New Roman" w:hAnsi="Times New Roman" w:eastAsia="仿宋_GB2312" w:cs="Times New Roman"/>
                <w:b/>
                <w:bCs/>
                <w:color w:val="auto"/>
                <w:sz w:val="21"/>
                <w:szCs w:val="21"/>
                <w:highlight w:val="none"/>
              </w:rPr>
            </w:pPr>
            <w:r>
              <w:rPr>
                <w:rStyle w:val="185"/>
                <w:rFonts w:hint="default" w:ascii="Times New Roman" w:hAnsi="Times New Roman" w:eastAsia="仿宋_GB2312" w:cs="Times New Roman"/>
                <w:color w:val="auto"/>
                <w:sz w:val="21"/>
                <w:szCs w:val="21"/>
                <w:highlight w:val="none"/>
              </w:rPr>
              <w:t>第十七条：违反本办法第九条第（一）项、第（二）项、第（三）项、第（四）项、第（六）项中任何一项规定的，由纤维质量监督机构责令限期改正，可以处</w:t>
            </w:r>
            <w:r>
              <w:rPr>
                <w:rStyle w:val="185"/>
                <w:rFonts w:hint="default" w:ascii="Times New Roman" w:hAnsi="Times New Roman" w:eastAsia="仿宋_GB2312" w:cs="Times New Roman"/>
                <w:color w:val="auto"/>
                <w:sz w:val="21"/>
                <w:szCs w:val="21"/>
                <w:highlight w:val="none"/>
                <w:lang w:val="en-US" w:eastAsia="zh-CN"/>
              </w:rPr>
              <w:t>3</w:t>
            </w:r>
            <w:r>
              <w:rPr>
                <w:rStyle w:val="185"/>
                <w:rFonts w:hint="default" w:ascii="Times New Roman" w:hAnsi="Times New Roman" w:eastAsia="仿宋_GB2312" w:cs="Times New Roman"/>
                <w:color w:val="auto"/>
                <w:sz w:val="21"/>
                <w:szCs w:val="21"/>
                <w:highlight w:val="none"/>
              </w:rPr>
              <w:t>万元以下罚款。</w:t>
            </w:r>
          </w:p>
        </w:tc>
      </w:tr>
      <w:tr w14:paraId="11C1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3" w:hRule="atLeast"/>
          <w:jc w:val="center"/>
        </w:trPr>
        <w:tc>
          <w:tcPr>
            <w:tcW w:w="307" w:type="pct"/>
            <w:noWrap w:val="0"/>
            <w:vAlign w:val="center"/>
          </w:tcPr>
          <w:p w14:paraId="37F32238">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5</w:t>
            </w:r>
          </w:p>
        </w:tc>
        <w:tc>
          <w:tcPr>
            <w:tcW w:w="901" w:type="pct"/>
            <w:noWrap w:val="0"/>
            <w:vAlign w:val="center"/>
          </w:tcPr>
          <w:p w14:paraId="1ECA9769">
            <w:pPr>
              <w:keepNext w:val="0"/>
              <w:keepLines w:val="0"/>
              <w:pageBreakBefore w:val="0"/>
              <w:widowControl/>
              <w:spacing w:line="320" w:lineRule="exact"/>
              <w:jc w:val="left"/>
              <w:rPr>
                <w:rFonts w:hint="eastAsia" w:ascii="Times New Roman" w:hAnsi="Times New Roman" w:eastAsia="仿宋_GB2312" w:cs="仿宋_GB2312"/>
                <w:strike/>
                <w:color w:val="auto"/>
                <w:sz w:val="21"/>
                <w:szCs w:val="21"/>
                <w:highlight w:val="none"/>
              </w:rPr>
            </w:pPr>
            <w:r>
              <w:rPr>
                <w:rFonts w:hint="eastAsia" w:ascii="Times New Roman" w:hAnsi="Times New Roman" w:eastAsia="仿宋_GB2312" w:cs="仿宋_GB2312"/>
                <w:color w:val="auto"/>
                <w:sz w:val="21"/>
                <w:szCs w:val="21"/>
                <w:highlight w:val="none"/>
              </w:rPr>
              <w:t>麻类纤维经营者未按国家标准、技术规范确定的品种、类别、季别、等级、重量，并分别置放，或未按规定挑拣、排除异性纤维及其他非麻类纤维物质，或未对水分超标的麻类纤维进行晾晒等技术处理的</w:t>
            </w:r>
          </w:p>
        </w:tc>
        <w:tc>
          <w:tcPr>
            <w:tcW w:w="790" w:type="pct"/>
            <w:noWrap w:val="0"/>
            <w:vAlign w:val="center"/>
          </w:tcPr>
          <w:p w14:paraId="2B0FF5FC">
            <w:pPr>
              <w:keepNext w:val="0"/>
              <w:keepLines w:val="0"/>
              <w:pageBreakBefore w:val="0"/>
              <w:widowControl/>
              <w:spacing w:line="320" w:lineRule="exac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57967543">
            <w:pPr>
              <w:keepNext w:val="0"/>
              <w:keepLines w:val="0"/>
              <w:pageBreakBefore w:val="0"/>
              <w:widowControl/>
              <w:spacing w:line="320" w:lineRule="exact"/>
              <w:rPr>
                <w:rFonts w:hint="eastAsia" w:ascii="Times New Roman" w:hAnsi="Times New Roman" w:eastAsia="仿宋_GB2312" w:cs="仿宋_GB2312"/>
                <w:strike/>
                <w:color w:val="auto"/>
                <w:sz w:val="21"/>
                <w:szCs w:val="21"/>
                <w:highlight w:val="none"/>
              </w:rPr>
            </w:pPr>
            <w:r>
              <w:rPr>
                <w:rStyle w:val="185"/>
                <w:rFonts w:hint="eastAsia" w:ascii="Times New Roman" w:hAnsi="Times New Roman" w:eastAsia="仿宋_GB2312" w:cs="仿宋_GB2312"/>
                <w:b/>
                <w:bCs/>
                <w:color w:val="auto"/>
                <w:sz w:val="21"/>
                <w:szCs w:val="21"/>
                <w:highlight w:val="none"/>
              </w:rPr>
              <w:t>《麻类纤维质量监督管理办法》</w:t>
            </w:r>
            <w:r>
              <w:rPr>
                <w:rStyle w:val="185"/>
                <w:rFonts w:hint="eastAsia" w:ascii="Times New Roman" w:hAnsi="Times New Roman" w:eastAsia="仿宋_GB2312" w:cs="仿宋_GB2312"/>
                <w:color w:val="auto"/>
                <w:sz w:val="21"/>
                <w:szCs w:val="21"/>
                <w:highlight w:val="none"/>
              </w:rPr>
              <w:t>第十五条第（二）项至第（四）项：麻类纤维经营者收购麻类纤维，应当符合下列要求：（二）按照国家标准、技术规范确定所收购麻类纤维的品种、类别、季别、等级、重量，并分别置放；（三）按照国家标准、技术规范挑拣、排除麻类纤维中的异性纤维及其他非麻类纤维物质；（四）对所收购麻类纤维的水分含量超过国家标准规定的，进行晾晒等技术处理。第二十条：麻类纤维经营者在收购麻类纤维活动中，违反本办法第十五条第（一）项规定的，</w:t>
            </w:r>
            <w:r>
              <w:rPr>
                <w:rStyle w:val="185"/>
                <w:rFonts w:hint="eastAsia" w:ascii="Times New Roman" w:hAnsi="Times New Roman" w:eastAsia="仿宋_GB2312" w:cs="仿宋_GB2312"/>
                <w:color w:val="auto"/>
                <w:sz w:val="21"/>
                <w:szCs w:val="21"/>
                <w:highlight w:val="none"/>
                <w:lang w:eastAsia="zh-CN"/>
              </w:rPr>
              <w:t>由</w:t>
            </w:r>
            <w:r>
              <w:rPr>
                <w:rStyle w:val="185"/>
                <w:rFonts w:hint="eastAsia" w:ascii="Times New Roman" w:hAnsi="Times New Roman" w:eastAsia="仿宋_GB2312" w:cs="仿宋_GB2312"/>
                <w:color w:val="auto"/>
                <w:sz w:val="21"/>
                <w:szCs w:val="21"/>
                <w:highlight w:val="none"/>
              </w:rPr>
              <w:t>纤维质量监督机构责令改正，拒不改正的，处以1万元以下的罚款；违反本办法第十五条第（二）项至第（四）项任何一项规定的，由纤维质量监督机构责令改正，并可以处3万元以下罚款。</w:t>
            </w:r>
          </w:p>
        </w:tc>
      </w:tr>
      <w:tr w14:paraId="450C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7" w:hRule="atLeast"/>
          <w:jc w:val="center"/>
        </w:trPr>
        <w:tc>
          <w:tcPr>
            <w:tcW w:w="307" w:type="pct"/>
            <w:noWrap w:val="0"/>
            <w:vAlign w:val="center"/>
          </w:tcPr>
          <w:p w14:paraId="4A2AF4D5">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rPr>
              <w:t>6</w:t>
            </w:r>
          </w:p>
        </w:tc>
        <w:tc>
          <w:tcPr>
            <w:tcW w:w="901" w:type="pct"/>
            <w:noWrap w:val="0"/>
            <w:vAlign w:val="center"/>
          </w:tcPr>
          <w:p w14:paraId="12FF606A">
            <w:pPr>
              <w:keepNext w:val="0"/>
              <w:keepLines w:val="0"/>
              <w:pageBreakBefore w:val="0"/>
              <w:widowControl/>
              <w:spacing w:line="34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认证机构增加、减少、遗漏程序要求的</w:t>
            </w:r>
          </w:p>
        </w:tc>
        <w:tc>
          <w:tcPr>
            <w:tcW w:w="790" w:type="pct"/>
            <w:noWrap w:val="0"/>
            <w:vAlign w:val="center"/>
          </w:tcPr>
          <w:p w14:paraId="04858F04">
            <w:pPr>
              <w:keepNext w:val="0"/>
              <w:keepLines w:val="0"/>
              <w:pageBreakBefore w:val="0"/>
              <w:widowControl/>
              <w:spacing w:line="34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情节轻微且不影响认证结论的客观、真实或者认证有效性，责令限期改正后及时改正的</w:t>
            </w:r>
          </w:p>
        </w:tc>
        <w:tc>
          <w:tcPr>
            <w:tcW w:w="3000" w:type="pct"/>
            <w:noWrap w:val="0"/>
            <w:vAlign w:val="center"/>
          </w:tcPr>
          <w:p w14:paraId="02213FDD">
            <w:pPr>
              <w:keepNext w:val="0"/>
              <w:keepLines w:val="0"/>
              <w:pageBreakBefore w:val="0"/>
              <w:widowControl/>
              <w:spacing w:line="360" w:lineRule="exact"/>
              <w:jc w:val="both"/>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《认证机构管理办法》</w:t>
            </w:r>
            <w:r>
              <w:rPr>
                <w:rStyle w:val="185"/>
                <w:rFonts w:hint="eastAsia" w:ascii="Times New Roman" w:hAnsi="Times New Roman" w:eastAsia="仿宋_GB2312" w:cs="仿宋_GB2312"/>
                <w:color w:val="auto"/>
                <w:sz w:val="21"/>
                <w:szCs w:val="21"/>
                <w:highlight w:val="none"/>
              </w:rPr>
              <w:t>第十六条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认证机构从事认证活动，应当符合认证基本规范、认证规则规定的程序要求，确保认证过程完整、客观、真实，不得增加、减少或者遗漏程序要求。</w:t>
            </w:r>
          </w:p>
          <w:p w14:paraId="73546762">
            <w:pPr>
              <w:keepNext w:val="0"/>
              <w:keepLines w:val="0"/>
              <w:pageBreakBefore w:val="0"/>
              <w:widowControl/>
              <w:spacing w:line="360" w:lineRule="exact"/>
              <w:jc w:val="both"/>
              <w:rPr>
                <w:rStyle w:val="185"/>
                <w:rFonts w:hint="eastAsia" w:ascii="Times New Roman" w:hAnsi="Times New Roman" w:eastAsia="仿宋_GB2312" w:cs="仿宋_GB2312"/>
                <w:color w:val="auto"/>
                <w:sz w:val="21"/>
                <w:szCs w:val="21"/>
                <w:highlight w:val="none"/>
              </w:rPr>
            </w:pPr>
            <w:r>
              <w:rPr>
                <w:rStyle w:val="185"/>
                <w:rFonts w:hint="eastAsia" w:ascii="Times New Roman" w:hAnsi="Times New Roman" w:eastAsia="仿宋_GB2312" w:cs="仿宋_GB2312"/>
                <w:color w:val="auto"/>
                <w:sz w:val="21"/>
                <w:szCs w:val="21"/>
                <w:highlight w:val="none"/>
              </w:rPr>
              <w:t>第三十九条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认证机构违反本办法第十六条规定，增加、减少、遗漏程序要求的，依照《认证认可条例》第六十条的规定进行处罚。认证机构被责令停业整顿的，停业整顿期限为6个月，期间不得从事认证活动。认证机构增加、减少、遗漏程序要求，情节轻微且不影响认证结论的客观、真实或者认证有效性的，应当责令其限期改正。逾期未改正或者经改正仍不符合要求的，依照前款规定进行处罚。</w:t>
            </w:r>
          </w:p>
          <w:p w14:paraId="10D04D38">
            <w:pPr>
              <w:keepNext w:val="0"/>
              <w:keepLines w:val="0"/>
              <w:pageBreakBefore w:val="0"/>
              <w:widowControl/>
              <w:spacing w:line="360" w:lineRule="exact"/>
              <w:jc w:val="both"/>
              <w:rPr>
                <w:rFonts w:hint="eastAsia" w:ascii="Times New Roman" w:hAnsi="Times New Roman" w:eastAsia="仿宋_GB2312" w:cs="仿宋_GB2312"/>
                <w:b/>
                <w:bCs/>
                <w:color w:val="auto"/>
                <w:sz w:val="21"/>
                <w:szCs w:val="21"/>
                <w:highlight w:val="none"/>
                <w:u w:val="none"/>
                <w:lang w:val="en-US" w:eastAsia="zh-CN" w:bidi="ar-SA"/>
              </w:rPr>
            </w:pPr>
            <w:r>
              <w:rPr>
                <w:rStyle w:val="184"/>
                <w:rFonts w:hint="eastAsia" w:ascii="Times New Roman" w:hAnsi="Times New Roman" w:eastAsia="仿宋_GB2312" w:cs="仿宋_GB2312"/>
                <w:color w:val="auto"/>
                <w:sz w:val="21"/>
                <w:szCs w:val="21"/>
                <w:highlight w:val="none"/>
              </w:rPr>
              <w:t>《中华人民共和国认证认可条例》</w:t>
            </w:r>
            <w:r>
              <w:rPr>
                <w:rStyle w:val="185"/>
                <w:rFonts w:hint="eastAsia" w:ascii="Times New Roman" w:hAnsi="Times New Roman" w:eastAsia="仿宋_GB2312" w:cs="仿宋_GB2312"/>
                <w:color w:val="auto"/>
                <w:sz w:val="21"/>
                <w:szCs w:val="21"/>
                <w:highlight w:val="none"/>
              </w:rPr>
              <w:t>第五十九条（原第六十条）第一款第二项</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认证机构有下列情形之一的，责令改正，处5万元以上20万元以下的罚款，有违法所得的，没收违法所得；情节严重的，责令停业整顿，直至撤销批准文件，并予公布：</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二</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增加、减少、遗漏认证基本规范、认证规则规定的程序的；</w:t>
            </w:r>
          </w:p>
        </w:tc>
      </w:tr>
      <w:tr w14:paraId="14AF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0" w:hRule="atLeast"/>
          <w:jc w:val="center"/>
        </w:trPr>
        <w:tc>
          <w:tcPr>
            <w:tcW w:w="307" w:type="pct"/>
            <w:noWrap w:val="0"/>
            <w:vAlign w:val="center"/>
          </w:tcPr>
          <w:p w14:paraId="24655B9D">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7</w:t>
            </w:r>
          </w:p>
        </w:tc>
        <w:tc>
          <w:tcPr>
            <w:tcW w:w="901" w:type="pct"/>
            <w:noWrap w:val="0"/>
            <w:vAlign w:val="center"/>
          </w:tcPr>
          <w:p w14:paraId="64696C8D">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经营者未按规定</w:t>
            </w:r>
          </w:p>
          <w:p w14:paraId="7F073790">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明码标价的</w:t>
            </w:r>
          </w:p>
        </w:tc>
        <w:tc>
          <w:tcPr>
            <w:tcW w:w="790" w:type="pct"/>
            <w:noWrap w:val="0"/>
            <w:vAlign w:val="center"/>
          </w:tcPr>
          <w:p w14:paraId="024D545C">
            <w:pPr>
              <w:keepNext w:val="0"/>
              <w:keepLines w:val="0"/>
              <w:pageBreakBefore w:val="0"/>
              <w:widowControl/>
              <w:spacing w:line="260" w:lineRule="exact"/>
              <w:jc w:val="lef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rPr>
              <w:t>1.违法行为轻微并及时改正，没有造成危害后果的，未实际损害消费者或者其他经营者合法权益，依法不予处罚；2.初次违法且危害后果轻微并及时改正的，可以依法不予处罚；3.菜市场、农贸市场等经营者销售商品时采取口头协商议价方式进行销售，未明码标价，但未实际损害消费者或者其他经营者合法权益，违法行为轻微并及时改正。</w:t>
            </w:r>
          </w:p>
        </w:tc>
        <w:tc>
          <w:tcPr>
            <w:tcW w:w="3000" w:type="pct"/>
            <w:noWrap w:val="0"/>
            <w:vAlign w:val="center"/>
          </w:tcPr>
          <w:p w14:paraId="4AD7EDA1">
            <w:pPr>
              <w:keepNext w:val="0"/>
              <w:keepLines w:val="0"/>
              <w:pageBreakBefore w:val="0"/>
              <w:widowControl/>
              <w:spacing w:line="320" w:lineRule="exact"/>
              <w:jc w:val="both"/>
              <w:rPr>
                <w:rStyle w:val="185"/>
                <w:rFonts w:hint="eastAsia" w:ascii="Times New Roman" w:hAnsi="Times New Roman" w:eastAsia="仿宋_GB2312" w:cs="仿宋_GB2312"/>
                <w:color w:val="auto"/>
                <w:sz w:val="21"/>
                <w:szCs w:val="21"/>
              </w:rPr>
            </w:pPr>
            <w:r>
              <w:rPr>
                <w:rStyle w:val="185"/>
                <w:rFonts w:hint="eastAsia" w:ascii="Times New Roman" w:hAnsi="Times New Roman" w:eastAsia="仿宋_GB2312" w:cs="仿宋_GB2312"/>
                <w:b/>
                <w:bCs/>
                <w:color w:val="auto"/>
                <w:sz w:val="21"/>
                <w:szCs w:val="21"/>
              </w:rPr>
              <w:t>《中华人民共和国价格法》</w:t>
            </w:r>
            <w:r>
              <w:rPr>
                <w:rStyle w:val="185"/>
                <w:rFonts w:hint="eastAsia" w:ascii="Times New Roman" w:hAnsi="Times New Roman" w:eastAsia="仿宋_GB2312" w:cs="仿宋_GB2312"/>
                <w:color w:val="auto"/>
                <w:sz w:val="21"/>
                <w:szCs w:val="21"/>
              </w:rPr>
              <w:t>第十三条第一款</w:t>
            </w:r>
            <w:r>
              <w:rPr>
                <w:rStyle w:val="185"/>
                <w:rFonts w:hint="eastAsia" w:eastAsia="仿宋_GB2312" w:cs="仿宋_GB2312"/>
                <w:color w:val="auto"/>
                <w:sz w:val="21"/>
                <w:szCs w:val="21"/>
                <w:lang w:val="en-US" w:eastAsia="zh-CN"/>
              </w:rPr>
              <w:t xml:space="preserve"> </w:t>
            </w:r>
            <w:r>
              <w:rPr>
                <w:rStyle w:val="185"/>
                <w:rFonts w:hint="eastAsia" w:ascii="Times New Roman" w:hAnsi="Times New Roman" w:eastAsia="仿宋_GB2312" w:cs="仿宋_GB2312"/>
                <w:color w:val="auto"/>
                <w:sz w:val="21"/>
                <w:szCs w:val="21"/>
              </w:rPr>
              <w:t xml:space="preserve"> 经营者销售、收购商品和提供服务，应当按照政府价格主管部门的规定明码标价，注明商品的品名、产地、规格、等级、计价单位、价格或者服务的项目、收费标准等有关情况。第四十二条 </w:t>
            </w:r>
            <w:r>
              <w:rPr>
                <w:rStyle w:val="185"/>
                <w:rFonts w:hint="eastAsia" w:eastAsia="仿宋_GB2312" w:cs="仿宋_GB2312"/>
                <w:color w:val="auto"/>
                <w:sz w:val="21"/>
                <w:szCs w:val="21"/>
                <w:lang w:val="en-US" w:eastAsia="zh-CN"/>
              </w:rPr>
              <w:t xml:space="preserve"> </w:t>
            </w:r>
            <w:r>
              <w:rPr>
                <w:rStyle w:val="185"/>
                <w:rFonts w:hint="eastAsia" w:ascii="Times New Roman" w:hAnsi="Times New Roman" w:eastAsia="仿宋_GB2312" w:cs="仿宋_GB2312"/>
                <w:color w:val="auto"/>
                <w:sz w:val="21"/>
                <w:szCs w:val="21"/>
              </w:rPr>
              <w:t>经营者违反明码标价规定的</w:t>
            </w:r>
            <w:r>
              <w:rPr>
                <w:rStyle w:val="185"/>
                <w:rFonts w:hint="eastAsia" w:eastAsia="仿宋_GB2312" w:cs="仿宋_GB2312"/>
                <w:color w:val="auto"/>
                <w:sz w:val="21"/>
                <w:szCs w:val="21"/>
                <w:lang w:eastAsia="zh-CN"/>
              </w:rPr>
              <w:t>，</w:t>
            </w:r>
            <w:r>
              <w:rPr>
                <w:rStyle w:val="185"/>
                <w:rFonts w:hint="eastAsia" w:ascii="Times New Roman" w:hAnsi="Times New Roman" w:eastAsia="仿宋_GB2312" w:cs="仿宋_GB2312"/>
                <w:color w:val="auto"/>
                <w:sz w:val="21"/>
                <w:szCs w:val="21"/>
              </w:rPr>
              <w:t>责令改正</w:t>
            </w:r>
            <w:r>
              <w:rPr>
                <w:rStyle w:val="185"/>
                <w:rFonts w:hint="eastAsia" w:eastAsia="仿宋_GB2312" w:cs="仿宋_GB2312"/>
                <w:color w:val="auto"/>
                <w:sz w:val="21"/>
                <w:szCs w:val="21"/>
                <w:lang w:eastAsia="zh-CN"/>
              </w:rPr>
              <w:t>，</w:t>
            </w:r>
            <w:r>
              <w:rPr>
                <w:rStyle w:val="185"/>
                <w:rFonts w:hint="eastAsia" w:ascii="Times New Roman" w:hAnsi="Times New Roman" w:eastAsia="仿宋_GB2312" w:cs="仿宋_GB2312"/>
                <w:color w:val="auto"/>
                <w:sz w:val="21"/>
                <w:szCs w:val="21"/>
              </w:rPr>
              <w:t>没收违法所得</w:t>
            </w:r>
            <w:r>
              <w:rPr>
                <w:rStyle w:val="185"/>
                <w:rFonts w:hint="eastAsia" w:eastAsia="仿宋_GB2312" w:cs="仿宋_GB2312"/>
                <w:color w:val="auto"/>
                <w:sz w:val="21"/>
                <w:szCs w:val="21"/>
                <w:lang w:eastAsia="zh-CN"/>
              </w:rPr>
              <w:t>，</w:t>
            </w:r>
            <w:r>
              <w:rPr>
                <w:rStyle w:val="185"/>
                <w:rFonts w:hint="eastAsia" w:ascii="Times New Roman" w:hAnsi="Times New Roman" w:eastAsia="仿宋_GB2312" w:cs="仿宋_GB2312"/>
                <w:color w:val="auto"/>
                <w:sz w:val="21"/>
                <w:szCs w:val="21"/>
              </w:rPr>
              <w:t>可以并处五千元以下的罚款。</w:t>
            </w:r>
          </w:p>
          <w:p w14:paraId="6ACDF8D3">
            <w:pPr>
              <w:keepNext w:val="0"/>
              <w:keepLines w:val="0"/>
              <w:pageBreakBefore w:val="0"/>
              <w:widowControl/>
              <w:spacing w:line="320" w:lineRule="exact"/>
              <w:jc w:val="both"/>
              <w:rPr>
                <w:rStyle w:val="185"/>
                <w:rFonts w:hint="eastAsia" w:ascii="Times New Roman" w:hAnsi="Times New Roman" w:eastAsia="仿宋_GB2312" w:cs="仿宋_GB2312"/>
                <w:color w:val="auto"/>
                <w:sz w:val="21"/>
                <w:szCs w:val="21"/>
              </w:rPr>
            </w:pPr>
            <w:r>
              <w:rPr>
                <w:rStyle w:val="185"/>
                <w:rFonts w:hint="eastAsia" w:ascii="Times New Roman" w:hAnsi="Times New Roman" w:eastAsia="仿宋_GB2312" w:cs="仿宋_GB2312"/>
                <w:b/>
                <w:bCs/>
                <w:color w:val="auto"/>
                <w:sz w:val="21"/>
                <w:szCs w:val="21"/>
              </w:rPr>
              <w:t>《价格违法行为行政处罚规定》</w:t>
            </w:r>
            <w:r>
              <w:rPr>
                <w:rStyle w:val="185"/>
                <w:rFonts w:hint="eastAsia" w:ascii="Times New Roman" w:hAnsi="Times New Roman" w:eastAsia="仿宋_GB2312" w:cs="仿宋_GB2312"/>
                <w:color w:val="auto"/>
                <w:sz w:val="21"/>
                <w:szCs w:val="21"/>
              </w:rPr>
              <w:t>第十三条</w:t>
            </w:r>
            <w:r>
              <w:rPr>
                <w:rStyle w:val="185"/>
                <w:rFonts w:hint="eastAsia" w:eastAsia="仿宋_GB2312" w:cs="仿宋_GB2312"/>
                <w:color w:val="auto"/>
                <w:sz w:val="21"/>
                <w:szCs w:val="21"/>
                <w:lang w:val="en-US" w:eastAsia="zh-CN"/>
              </w:rPr>
              <w:t xml:space="preserve"> </w:t>
            </w:r>
            <w:r>
              <w:rPr>
                <w:rStyle w:val="185"/>
                <w:rFonts w:hint="eastAsia" w:ascii="Times New Roman" w:hAnsi="Times New Roman" w:eastAsia="仿宋_GB2312" w:cs="仿宋_GB2312"/>
                <w:color w:val="auto"/>
                <w:sz w:val="21"/>
                <w:szCs w:val="21"/>
              </w:rPr>
              <w:t xml:space="preserve"> 经营者违反明码标价规定，有下列行为之一的，责令改正，没收违法所得，可以并处5000元以下的罚款：（一）不标明价格的；（二）不按照规定的内容和方式明码标价的；（三）在标价之外加价出售商品或者收取未标明的费用的；（四）违反明码标价规定的其他行为。</w:t>
            </w:r>
          </w:p>
          <w:p w14:paraId="49F365A7">
            <w:pPr>
              <w:keepNext w:val="0"/>
              <w:keepLines w:val="0"/>
              <w:pageBreakBefore w:val="0"/>
              <w:widowControl/>
              <w:spacing w:line="320" w:lineRule="exact"/>
              <w:jc w:val="both"/>
              <w:rPr>
                <w:rStyle w:val="185"/>
                <w:rFonts w:hint="eastAsia" w:ascii="Times New Roman" w:hAnsi="Times New Roman" w:eastAsia="仿宋_GB2312" w:cs="仿宋_GB2312"/>
                <w:color w:val="auto"/>
                <w:sz w:val="21"/>
                <w:szCs w:val="21"/>
              </w:rPr>
            </w:pPr>
            <w:r>
              <w:rPr>
                <w:rStyle w:val="185"/>
                <w:rFonts w:hint="eastAsia" w:ascii="Times New Roman" w:hAnsi="Times New Roman" w:eastAsia="仿宋_GB2312" w:cs="仿宋_GB2312"/>
                <w:b/>
                <w:bCs/>
                <w:color w:val="auto"/>
                <w:sz w:val="21"/>
                <w:szCs w:val="21"/>
                <w:lang w:eastAsia="zh-CN"/>
              </w:rPr>
              <w:t>《明码标价和禁止价格欺诈规定》</w:t>
            </w:r>
          </w:p>
          <w:p w14:paraId="12B99E97">
            <w:pPr>
              <w:keepNext w:val="0"/>
              <w:keepLines w:val="0"/>
              <w:pageBreakBefore w:val="0"/>
              <w:widowControl/>
              <w:spacing w:line="320" w:lineRule="exact"/>
              <w:jc w:val="both"/>
              <w:rPr>
                <w:rStyle w:val="185"/>
                <w:rFonts w:hint="eastAsia" w:ascii="Times New Roman" w:hAnsi="Times New Roman" w:eastAsia="仿宋_GB2312" w:cs="仿宋_GB2312"/>
                <w:color w:val="auto"/>
                <w:sz w:val="21"/>
                <w:szCs w:val="21"/>
              </w:rPr>
            </w:pPr>
            <w:r>
              <w:rPr>
                <w:rStyle w:val="185"/>
                <w:rFonts w:hint="eastAsia" w:ascii="Times New Roman" w:hAnsi="Times New Roman" w:eastAsia="仿宋_GB2312" w:cs="仿宋_GB2312"/>
                <w:color w:val="auto"/>
                <w:sz w:val="21"/>
                <w:szCs w:val="21"/>
              </w:rPr>
              <w:t>第二十六条</w:t>
            </w:r>
            <w:r>
              <w:rPr>
                <w:rStyle w:val="185"/>
                <w:rFonts w:hint="eastAsia" w:eastAsia="仿宋_GB2312" w:cs="仿宋_GB2312"/>
                <w:color w:val="auto"/>
                <w:sz w:val="21"/>
                <w:szCs w:val="21"/>
                <w:lang w:val="en-US" w:eastAsia="zh-CN"/>
              </w:rPr>
              <w:t xml:space="preserve">  </w:t>
            </w:r>
            <w:r>
              <w:rPr>
                <w:rStyle w:val="185"/>
                <w:rFonts w:hint="eastAsia" w:ascii="Times New Roman" w:hAnsi="Times New Roman" w:eastAsia="仿宋_GB2312" w:cs="仿宋_GB2312"/>
                <w:color w:val="auto"/>
                <w:sz w:val="21"/>
                <w:szCs w:val="21"/>
              </w:rPr>
              <w:t>经营者违反本规定，但能够主动消除或者减轻危害后果，及时退还消费者或者其他经营者多付价款的，依法从轻或者减轻处罚。</w:t>
            </w:r>
          </w:p>
          <w:p w14:paraId="6B4C01EB">
            <w:pPr>
              <w:keepNext w:val="0"/>
              <w:keepLines w:val="0"/>
              <w:pageBreakBefore w:val="0"/>
              <w:widowControl/>
              <w:spacing w:line="320" w:lineRule="exact"/>
              <w:jc w:val="both"/>
              <w:rPr>
                <w:rFonts w:hint="eastAsia" w:ascii="Times New Roman" w:hAnsi="Times New Roman" w:eastAsia="仿宋_GB2312" w:cs="仿宋_GB2312"/>
                <w:b/>
                <w:bCs/>
                <w:color w:val="auto"/>
                <w:sz w:val="21"/>
                <w:szCs w:val="21"/>
                <w:highlight w:val="none"/>
              </w:rPr>
            </w:pPr>
            <w:r>
              <w:rPr>
                <w:rStyle w:val="185"/>
                <w:rFonts w:hint="eastAsia" w:ascii="Times New Roman" w:hAnsi="Times New Roman" w:eastAsia="仿宋_GB2312" w:cs="仿宋_GB2312"/>
                <w:color w:val="auto"/>
                <w:sz w:val="21"/>
                <w:szCs w:val="21"/>
              </w:rPr>
              <w:t>经营者违反本规定，但未实际损害消费者或者其他经营者合法权益，违法行为轻微并及时改正，没有造成危害后果的，依法不予处罚；初次违法且危害后果轻微并及时改正的，可以依法不予处罚。</w:t>
            </w:r>
          </w:p>
        </w:tc>
      </w:tr>
      <w:tr w14:paraId="6F8C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0" w:hRule="atLeast"/>
          <w:jc w:val="center"/>
        </w:trPr>
        <w:tc>
          <w:tcPr>
            <w:tcW w:w="307" w:type="pct"/>
            <w:noWrap w:val="0"/>
            <w:vAlign w:val="center"/>
          </w:tcPr>
          <w:p w14:paraId="3DE5337B">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8</w:t>
            </w:r>
          </w:p>
        </w:tc>
        <w:tc>
          <w:tcPr>
            <w:tcW w:w="901" w:type="pct"/>
            <w:noWrap w:val="0"/>
            <w:vAlign w:val="center"/>
          </w:tcPr>
          <w:p w14:paraId="063A8D2B">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rPr>
              <w:t>交易场所提供者提供的标价模板不符合规定的</w:t>
            </w:r>
          </w:p>
        </w:tc>
        <w:tc>
          <w:tcPr>
            <w:tcW w:w="790" w:type="pct"/>
            <w:noWrap w:val="0"/>
            <w:vAlign w:val="center"/>
          </w:tcPr>
          <w:p w14:paraId="56426F16">
            <w:pPr>
              <w:keepNext w:val="0"/>
              <w:keepLines w:val="0"/>
              <w:pageBreakBefore w:val="0"/>
              <w:widowControl/>
              <w:spacing w:line="280" w:lineRule="exact"/>
              <w:rPr>
                <w:rStyle w:val="185"/>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rPr>
              <w:t>情节轻微，没有造成危害后果，</w:t>
            </w:r>
            <w:r>
              <w:rPr>
                <w:rFonts w:hint="eastAsia" w:ascii="Times New Roman" w:hAnsi="Times New Roman" w:eastAsia="仿宋_GB2312" w:cs="仿宋_GB2312"/>
                <w:color w:val="auto"/>
                <w:sz w:val="21"/>
                <w:szCs w:val="21"/>
                <w:lang w:eastAsia="zh-CN"/>
              </w:rPr>
              <w:t>主动改正或在责令改正</w:t>
            </w:r>
            <w:r>
              <w:rPr>
                <w:rFonts w:hint="eastAsia" w:ascii="Times New Roman" w:hAnsi="Times New Roman" w:eastAsia="仿宋_GB2312" w:cs="仿宋_GB2312"/>
                <w:color w:val="auto"/>
                <w:sz w:val="21"/>
                <w:szCs w:val="21"/>
              </w:rPr>
              <w:t>期限内改正的</w:t>
            </w:r>
          </w:p>
        </w:tc>
        <w:tc>
          <w:tcPr>
            <w:tcW w:w="3000" w:type="pct"/>
            <w:noWrap w:val="0"/>
            <w:vAlign w:val="center"/>
          </w:tcPr>
          <w:p w14:paraId="0427B546">
            <w:pPr>
              <w:keepNext w:val="0"/>
              <w:keepLines w:val="0"/>
              <w:pageBreakBefore w:val="0"/>
              <w:widowControl/>
              <w:spacing w:line="260" w:lineRule="exact"/>
              <w:jc w:val="left"/>
              <w:rPr>
                <w:rStyle w:val="185"/>
                <w:rFonts w:hint="eastAsia" w:ascii="Times New Roman" w:hAnsi="Times New Roman" w:eastAsia="仿宋_GB2312" w:cs="仿宋_GB2312"/>
                <w:b w:val="0"/>
                <w:bCs w:val="0"/>
                <w:color w:val="auto"/>
                <w:sz w:val="21"/>
                <w:szCs w:val="21"/>
                <w:lang w:eastAsia="zh-CN"/>
              </w:rPr>
            </w:pPr>
            <w:r>
              <w:rPr>
                <w:rStyle w:val="185"/>
                <w:rFonts w:hint="eastAsia" w:ascii="Times New Roman" w:hAnsi="Times New Roman" w:eastAsia="仿宋_GB2312" w:cs="仿宋_GB2312"/>
                <w:b/>
                <w:bCs/>
                <w:color w:val="auto"/>
                <w:sz w:val="21"/>
                <w:szCs w:val="21"/>
                <w:lang w:eastAsia="zh-CN"/>
              </w:rPr>
              <w:t>《明码标价和禁止价格欺诈规定》</w:t>
            </w:r>
            <w:r>
              <w:rPr>
                <w:rStyle w:val="185"/>
                <w:rFonts w:hint="eastAsia" w:ascii="Times New Roman" w:hAnsi="Times New Roman" w:eastAsia="仿宋_GB2312" w:cs="仿宋_GB2312"/>
                <w:b w:val="0"/>
                <w:bCs w:val="0"/>
                <w:color w:val="auto"/>
                <w:sz w:val="21"/>
                <w:szCs w:val="21"/>
                <w:lang w:eastAsia="zh-CN"/>
              </w:rPr>
              <w:t>第十四条</w:t>
            </w:r>
            <w:r>
              <w:rPr>
                <w:rStyle w:val="185"/>
                <w:rFonts w:hint="eastAsia" w:eastAsia="仿宋_GB2312" w:cs="仿宋_GB2312"/>
                <w:b w:val="0"/>
                <w:bCs w:val="0"/>
                <w:color w:val="auto"/>
                <w:sz w:val="21"/>
                <w:szCs w:val="21"/>
                <w:lang w:val="en-US" w:eastAsia="zh-CN"/>
              </w:rPr>
              <w:t xml:space="preserve">  </w:t>
            </w:r>
            <w:r>
              <w:rPr>
                <w:rStyle w:val="185"/>
                <w:rFonts w:hint="eastAsia" w:ascii="Times New Roman" w:hAnsi="Times New Roman" w:eastAsia="仿宋_GB2312" w:cs="仿宋_GB2312"/>
                <w:b w:val="0"/>
                <w:bCs w:val="0"/>
                <w:color w:val="auto"/>
                <w:sz w:val="21"/>
                <w:szCs w:val="21"/>
                <w:lang w:eastAsia="zh-CN"/>
              </w:rPr>
              <w:t>交易场所提供者为场所内（平台内）经营者提供标价模板的，应当符合本规定的要求。</w:t>
            </w:r>
          </w:p>
          <w:p w14:paraId="004D02B7">
            <w:pPr>
              <w:keepNext w:val="0"/>
              <w:keepLines w:val="0"/>
              <w:pageBreakBefore w:val="0"/>
              <w:widowControl/>
              <w:spacing w:line="260" w:lineRule="exact"/>
              <w:jc w:val="left"/>
              <w:rPr>
                <w:rStyle w:val="185"/>
                <w:rFonts w:hint="eastAsia" w:ascii="Times New Roman" w:hAnsi="Times New Roman" w:eastAsia="仿宋_GB2312" w:cs="仿宋_GB2312"/>
                <w:color w:val="auto"/>
                <w:sz w:val="21"/>
                <w:szCs w:val="21"/>
              </w:rPr>
            </w:pPr>
            <w:r>
              <w:rPr>
                <w:rStyle w:val="185"/>
                <w:rFonts w:hint="eastAsia" w:ascii="Times New Roman" w:hAnsi="Times New Roman" w:eastAsia="仿宋_GB2312" w:cs="仿宋_GB2312"/>
                <w:color w:val="auto"/>
                <w:sz w:val="21"/>
                <w:szCs w:val="21"/>
              </w:rPr>
              <w:t>第二十五条</w:t>
            </w:r>
            <w:r>
              <w:rPr>
                <w:rStyle w:val="185"/>
                <w:rFonts w:hint="eastAsia" w:eastAsia="仿宋_GB2312" w:cs="仿宋_GB2312"/>
                <w:color w:val="auto"/>
                <w:sz w:val="21"/>
                <w:szCs w:val="21"/>
                <w:lang w:val="en-US" w:eastAsia="zh-CN"/>
              </w:rPr>
              <w:t xml:space="preserve">  </w:t>
            </w:r>
            <w:r>
              <w:rPr>
                <w:rStyle w:val="185"/>
                <w:rFonts w:hint="eastAsia" w:ascii="Times New Roman" w:hAnsi="Times New Roman" w:eastAsia="仿宋_GB2312" w:cs="仿宋_GB2312"/>
                <w:color w:val="auto"/>
                <w:sz w:val="21"/>
                <w:szCs w:val="21"/>
              </w:rPr>
              <w:t>交易场所提供者提供的标价模板不符合本规定的，由县级以上市场监督管理部门责令改正，可以处三万元以下罚款；情节严重的，处三万元以上十万元以下罚款。</w:t>
            </w:r>
          </w:p>
          <w:p w14:paraId="3D363FC1">
            <w:pPr>
              <w:keepNext w:val="0"/>
              <w:keepLines w:val="0"/>
              <w:pageBreakBefore w:val="0"/>
              <w:widowControl/>
              <w:spacing w:line="260" w:lineRule="exact"/>
              <w:jc w:val="left"/>
              <w:rPr>
                <w:rStyle w:val="185"/>
                <w:rFonts w:hint="eastAsia" w:ascii="Times New Roman" w:hAnsi="Times New Roman" w:eastAsia="仿宋_GB2312" w:cs="仿宋_GB2312"/>
                <w:color w:val="auto"/>
                <w:sz w:val="21"/>
                <w:szCs w:val="21"/>
              </w:rPr>
            </w:pPr>
            <w:r>
              <w:rPr>
                <w:rStyle w:val="185"/>
                <w:rFonts w:hint="eastAsia" w:ascii="Times New Roman" w:hAnsi="Times New Roman" w:eastAsia="仿宋_GB2312" w:cs="仿宋_GB2312"/>
                <w:color w:val="auto"/>
                <w:sz w:val="21"/>
                <w:szCs w:val="21"/>
              </w:rPr>
              <w:t>第二十六条</w:t>
            </w:r>
            <w:r>
              <w:rPr>
                <w:rStyle w:val="185"/>
                <w:rFonts w:hint="eastAsia" w:eastAsia="仿宋_GB2312" w:cs="仿宋_GB2312"/>
                <w:color w:val="auto"/>
                <w:sz w:val="21"/>
                <w:szCs w:val="21"/>
                <w:lang w:val="en-US" w:eastAsia="zh-CN"/>
              </w:rPr>
              <w:t xml:space="preserve">  </w:t>
            </w:r>
            <w:r>
              <w:rPr>
                <w:rStyle w:val="185"/>
                <w:rFonts w:hint="eastAsia" w:ascii="Times New Roman" w:hAnsi="Times New Roman" w:eastAsia="仿宋_GB2312" w:cs="仿宋_GB2312"/>
                <w:color w:val="auto"/>
                <w:sz w:val="21"/>
                <w:szCs w:val="21"/>
              </w:rPr>
              <w:t>经营者违反本规定，但能够主动消除或者减轻危害后果，及时退还消费者或者其他经营者多付价款的，依法从轻或者减轻处罚。</w:t>
            </w:r>
          </w:p>
          <w:p w14:paraId="3FBD0DBB">
            <w:pPr>
              <w:keepNext w:val="0"/>
              <w:keepLines w:val="0"/>
              <w:pageBreakBefore w:val="0"/>
              <w:widowControl/>
              <w:spacing w:line="260" w:lineRule="exact"/>
              <w:jc w:val="left"/>
              <w:rPr>
                <w:rStyle w:val="184"/>
                <w:rFonts w:hint="eastAsia" w:ascii="Times New Roman" w:hAnsi="Times New Roman" w:eastAsia="仿宋_GB2312" w:cs="仿宋_GB2312"/>
                <w:color w:val="auto"/>
                <w:sz w:val="21"/>
                <w:szCs w:val="21"/>
                <w:highlight w:val="none"/>
              </w:rPr>
            </w:pPr>
            <w:r>
              <w:rPr>
                <w:rStyle w:val="185"/>
                <w:rFonts w:hint="eastAsia" w:ascii="Times New Roman" w:hAnsi="Times New Roman" w:eastAsia="仿宋_GB2312" w:cs="仿宋_GB2312"/>
                <w:color w:val="auto"/>
                <w:sz w:val="21"/>
                <w:szCs w:val="21"/>
              </w:rPr>
              <w:t>经营者违反本规定，但未实际损害消费者或者其他经营者合法权益，违法行为轻微并及时改正，没有造成危害后果的，依法不予处罚；初次违法且危害后果轻微并及时改正的，可以依法不予处罚。</w:t>
            </w:r>
          </w:p>
        </w:tc>
      </w:tr>
      <w:tr w14:paraId="3E46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307" w:type="pct"/>
            <w:noWrap w:val="0"/>
            <w:vAlign w:val="center"/>
          </w:tcPr>
          <w:p w14:paraId="5609E075">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9</w:t>
            </w:r>
          </w:p>
        </w:tc>
        <w:tc>
          <w:tcPr>
            <w:tcW w:w="901" w:type="pct"/>
            <w:noWrap w:val="0"/>
            <w:vAlign w:val="center"/>
          </w:tcPr>
          <w:p w14:paraId="6CFDA90B">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eastAsia="zh-CN"/>
              </w:rPr>
            </w:pPr>
            <w:r>
              <w:rPr>
                <w:rFonts w:hint="eastAsia" w:ascii="Times New Roman" w:hAnsi="Times New Roman" w:eastAsia="仿宋_GB2312" w:cs="仿宋_GB2312"/>
                <w:color w:val="auto"/>
                <w:sz w:val="21"/>
                <w:szCs w:val="21"/>
                <w:highlight w:val="none"/>
                <w:lang w:eastAsia="zh-CN"/>
              </w:rPr>
              <w:t>现场即时开奖未随时公示超过五百元奖项的兑奖情况，或未按规定建立档案并完整记录、保存相关信息的</w:t>
            </w:r>
          </w:p>
        </w:tc>
        <w:tc>
          <w:tcPr>
            <w:tcW w:w="790" w:type="pct"/>
            <w:noWrap w:val="0"/>
            <w:vAlign w:val="center"/>
          </w:tcPr>
          <w:p w14:paraId="491FD39F">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情节轻微，没有造成危害后果，</w:t>
            </w:r>
            <w:r>
              <w:rPr>
                <w:rFonts w:hint="eastAsia" w:ascii="Times New Roman" w:hAnsi="Times New Roman" w:eastAsia="仿宋_GB2312" w:cs="仿宋_GB2312"/>
                <w:color w:val="auto"/>
                <w:sz w:val="21"/>
                <w:szCs w:val="21"/>
                <w:highlight w:val="none"/>
                <w:lang w:eastAsia="zh-CN"/>
              </w:rPr>
              <w:t>主动改正或在责令改正</w:t>
            </w:r>
            <w:r>
              <w:rPr>
                <w:rFonts w:hint="eastAsia" w:ascii="Times New Roman" w:hAnsi="Times New Roman" w:eastAsia="仿宋_GB2312" w:cs="仿宋_GB2312"/>
                <w:color w:val="auto"/>
                <w:sz w:val="21"/>
                <w:szCs w:val="21"/>
                <w:highlight w:val="none"/>
              </w:rPr>
              <w:t>期限内改正的</w:t>
            </w:r>
          </w:p>
        </w:tc>
        <w:tc>
          <w:tcPr>
            <w:tcW w:w="3000" w:type="pct"/>
            <w:noWrap w:val="0"/>
            <w:vAlign w:val="center"/>
          </w:tcPr>
          <w:p w14:paraId="0E78C038">
            <w:pPr>
              <w:keepNext w:val="0"/>
              <w:keepLines w:val="0"/>
              <w:pageBreakBefore w:val="0"/>
              <w:widowControl/>
              <w:spacing w:line="260" w:lineRule="exact"/>
              <w:jc w:val="left"/>
              <w:rPr>
                <w:rStyle w:val="184"/>
                <w:rFonts w:hint="eastAsia" w:ascii="Times New Roman" w:hAnsi="Times New Roman" w:eastAsia="仿宋_GB2312" w:cs="仿宋_GB2312"/>
                <w:b w:val="0"/>
                <w:bCs w:val="0"/>
                <w:color w:val="auto"/>
                <w:sz w:val="21"/>
                <w:szCs w:val="21"/>
                <w:highlight w:val="none"/>
              </w:rPr>
            </w:pPr>
            <w:r>
              <w:rPr>
                <w:rStyle w:val="185"/>
                <w:rFonts w:hint="eastAsia" w:ascii="Times New Roman" w:hAnsi="Times New Roman" w:eastAsia="仿宋_GB2312" w:cs="仿宋_GB2312"/>
                <w:b/>
                <w:bCs/>
                <w:color w:val="auto"/>
                <w:sz w:val="21"/>
                <w:szCs w:val="21"/>
                <w:highlight w:val="none"/>
                <w:lang w:eastAsia="zh-CN"/>
              </w:rPr>
              <w:t>《规范促销行为暂行规定》</w:t>
            </w:r>
            <w:r>
              <w:rPr>
                <w:rStyle w:val="184"/>
                <w:rFonts w:hint="eastAsia" w:ascii="Times New Roman" w:hAnsi="Times New Roman" w:eastAsia="仿宋_GB2312" w:cs="仿宋_GB2312"/>
                <w:b w:val="0"/>
                <w:bCs w:val="0"/>
                <w:color w:val="auto"/>
                <w:sz w:val="21"/>
                <w:szCs w:val="21"/>
                <w:highlight w:val="none"/>
                <w:lang w:eastAsia="zh-CN"/>
              </w:rPr>
              <w:t>第十三条第二款</w:t>
            </w:r>
            <w:r>
              <w:rPr>
                <w:rStyle w:val="184"/>
                <w:rFonts w:hint="eastAsia"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lang w:eastAsia="zh-CN"/>
              </w:rPr>
              <w:t>在现场即时开奖的有奖销售活动中，对超过五百元奖项的兑奖情况，应当随时公示。</w:t>
            </w:r>
            <w:r>
              <w:rPr>
                <w:rStyle w:val="184"/>
                <w:rFonts w:hint="eastAsia" w:ascii="Times New Roman" w:hAnsi="Times New Roman" w:eastAsia="仿宋_GB2312" w:cs="仿宋_GB2312"/>
                <w:b w:val="0"/>
                <w:bCs w:val="0"/>
                <w:color w:val="auto"/>
                <w:sz w:val="21"/>
                <w:szCs w:val="21"/>
                <w:highlight w:val="none"/>
                <w:lang w:val="en-US" w:eastAsia="zh-CN"/>
              </w:rPr>
              <w:t>第十九条</w:t>
            </w:r>
            <w:bookmarkStart w:id="0" w:name="tiao_19_kuan_1"/>
            <w:bookmarkEnd w:id="0"/>
            <w:r>
              <w:rPr>
                <w:rStyle w:val="184"/>
                <w:rFonts w:hint="eastAsia"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lang w:val="en-US" w:eastAsia="zh-CN"/>
              </w:rPr>
              <w:t>经营者应当建立档案，如实、准确、完整地记录设奖规则、公示信息、兑奖结果、获奖人员等内容，妥善保存两年并依法接受监督检查。</w:t>
            </w:r>
          </w:p>
          <w:p w14:paraId="32A4425E">
            <w:pPr>
              <w:keepNext w:val="0"/>
              <w:keepLines w:val="0"/>
              <w:pageBreakBefore w:val="0"/>
              <w:widowControl/>
              <w:spacing w:line="260" w:lineRule="exact"/>
              <w:jc w:val="left"/>
              <w:rPr>
                <w:rStyle w:val="184"/>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b w:val="0"/>
                <w:bCs w:val="0"/>
                <w:color w:val="auto"/>
                <w:sz w:val="21"/>
                <w:szCs w:val="21"/>
                <w:highlight w:val="none"/>
                <w:lang w:val="en-US" w:eastAsia="zh-CN"/>
              </w:rPr>
              <w:t>第二十八条</w:t>
            </w:r>
            <w:bookmarkStart w:id="1" w:name="tiao_28_kuan_1"/>
            <w:bookmarkEnd w:id="1"/>
            <w:r>
              <w:rPr>
                <w:rStyle w:val="184"/>
                <w:rFonts w:hint="eastAsia"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lang w:val="en-US" w:eastAsia="zh-CN"/>
              </w:rPr>
              <w:t>违反本规定第十三条第二款、第十九条，由县级以上市场监督管理部门责令改正，可以处一万元以下罚款。</w:t>
            </w:r>
          </w:p>
        </w:tc>
      </w:tr>
      <w:tr w14:paraId="5C1C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307" w:type="pct"/>
            <w:noWrap w:val="0"/>
            <w:vAlign w:val="center"/>
          </w:tcPr>
          <w:p w14:paraId="5FDBDC7B">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lang w:val="en-US" w:eastAsia="zh-CN"/>
              </w:rPr>
              <w:t>10</w:t>
            </w:r>
          </w:p>
        </w:tc>
        <w:tc>
          <w:tcPr>
            <w:tcW w:w="901" w:type="pct"/>
            <w:noWrap w:val="0"/>
            <w:vAlign w:val="center"/>
          </w:tcPr>
          <w:p w14:paraId="7F085BD1">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lang w:eastAsia="zh-CN"/>
              </w:rPr>
              <w:t>经营者的促销活动中未履行优惠承诺的</w:t>
            </w:r>
          </w:p>
        </w:tc>
        <w:tc>
          <w:tcPr>
            <w:tcW w:w="790" w:type="pct"/>
            <w:noWrap w:val="0"/>
            <w:vAlign w:val="center"/>
          </w:tcPr>
          <w:p w14:paraId="39C92F88">
            <w:pPr>
              <w:keepNext w:val="0"/>
              <w:keepLines w:val="0"/>
              <w:pageBreakBefore w:val="0"/>
              <w:widowControl/>
              <w:spacing w:line="280" w:lineRule="exact"/>
              <w:rPr>
                <w:rFonts w:hint="eastAsia" w:ascii="Times New Roman" w:hAnsi="Times New Roman" w:eastAsia="仿宋_GB2312" w:cs="仿宋_GB2312"/>
                <w:b w:val="0"/>
                <w:bCs w:val="0"/>
                <w:color w:val="auto"/>
                <w:sz w:val="21"/>
                <w:szCs w:val="21"/>
                <w:highlight w:val="none"/>
                <w:u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21ABB156">
            <w:pPr>
              <w:keepNext w:val="0"/>
              <w:keepLines w:val="0"/>
              <w:pageBreakBefore w:val="0"/>
              <w:widowControl/>
              <w:spacing w:line="260" w:lineRule="exact"/>
              <w:jc w:val="left"/>
              <w:rPr>
                <w:rStyle w:val="185"/>
                <w:rFonts w:hint="eastAsia" w:ascii="Times New Roman" w:hAnsi="Times New Roman" w:eastAsia="仿宋_GB2312" w:cs="仿宋_GB2312"/>
                <w:b w:val="0"/>
                <w:bCs w:val="0"/>
                <w:color w:val="auto"/>
                <w:sz w:val="21"/>
                <w:szCs w:val="21"/>
                <w:highlight w:val="none"/>
                <w:lang w:eastAsia="zh-CN"/>
              </w:rPr>
            </w:pPr>
            <w:r>
              <w:rPr>
                <w:rStyle w:val="185"/>
                <w:rFonts w:hint="eastAsia" w:ascii="Times New Roman" w:hAnsi="Times New Roman" w:eastAsia="仿宋_GB2312" w:cs="仿宋_GB2312"/>
                <w:b/>
                <w:bCs/>
                <w:color w:val="auto"/>
                <w:sz w:val="21"/>
                <w:szCs w:val="21"/>
                <w:highlight w:val="none"/>
                <w:lang w:eastAsia="zh-CN"/>
              </w:rPr>
              <w:t>《规范促销行为暂行规定》</w:t>
            </w:r>
            <w:r>
              <w:rPr>
                <w:rStyle w:val="185"/>
                <w:rFonts w:hint="eastAsia" w:ascii="Times New Roman" w:hAnsi="Times New Roman" w:eastAsia="仿宋_GB2312" w:cs="仿宋_GB2312"/>
                <w:b w:val="0"/>
                <w:bCs w:val="0"/>
                <w:color w:val="auto"/>
                <w:sz w:val="21"/>
                <w:szCs w:val="21"/>
                <w:highlight w:val="none"/>
                <w:lang w:eastAsia="zh-CN"/>
              </w:rPr>
              <w:t>第六条  经营者通过商业广告、产品说明、销售推介、实物样品或者通知、声明、店堂告示等方式作出优惠承诺的，应当履行承诺。</w:t>
            </w:r>
          </w:p>
          <w:p w14:paraId="3975475B">
            <w:pPr>
              <w:keepNext w:val="0"/>
              <w:keepLines w:val="0"/>
              <w:pageBreakBefore w:val="0"/>
              <w:widowControl/>
              <w:spacing w:line="26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lang w:eastAsia="zh-CN"/>
              </w:rPr>
              <w:t>第二十四条</w:t>
            </w:r>
            <w:r>
              <w:rPr>
                <w:rStyle w:val="185"/>
                <w:rFonts w:hint="eastAsia" w:eastAsia="仿宋_GB2312" w:cs="仿宋_GB2312"/>
                <w:b w:val="0"/>
                <w:bCs w:val="0"/>
                <w:color w:val="auto"/>
                <w:sz w:val="21"/>
                <w:szCs w:val="21"/>
                <w:highlight w:val="none"/>
                <w:lang w:eastAsia="zh-CN"/>
              </w:rPr>
              <w:t xml:space="preserve"> </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lang w:eastAsia="zh-CN"/>
              </w:rPr>
              <w:t>违反本规定第六条、第八条、第十条，法律法规有规定的，从其规定；法律法规没有规定的，由县级以上市场监督管理部门责令改正；可处违法所得三倍以下罚款，但最高不超过三万元；没有违法所得的，可处一万元以下罚款。</w:t>
            </w:r>
          </w:p>
        </w:tc>
      </w:tr>
      <w:tr w14:paraId="78B3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0" w:hRule="atLeast"/>
          <w:jc w:val="center"/>
        </w:trPr>
        <w:tc>
          <w:tcPr>
            <w:tcW w:w="307" w:type="pct"/>
            <w:noWrap w:val="0"/>
            <w:vAlign w:val="center"/>
          </w:tcPr>
          <w:p w14:paraId="1FA26383">
            <w:pPr>
              <w:widowControl/>
              <w:spacing w:line="280" w:lineRule="exact"/>
              <w:jc w:val="center"/>
              <w:rPr>
                <w:rFonts w:hint="eastAsia" w:ascii="Times New Roman" w:hAnsi="Times New Roman" w:eastAsia="仿宋" w:cs="仿宋"/>
                <w:color w:val="auto"/>
                <w:sz w:val="21"/>
                <w:szCs w:val="21"/>
                <w:highlight w:val="none"/>
                <w:lang w:val="en-US" w:eastAsia="zh-CN"/>
              </w:rPr>
            </w:pPr>
            <w:r>
              <w:rPr>
                <w:rFonts w:hint="eastAsia" w:ascii="Times New Roman" w:hAnsi="Times New Roman" w:eastAsia="仿宋" w:cs="仿宋"/>
                <w:color w:val="auto"/>
                <w:sz w:val="21"/>
                <w:szCs w:val="21"/>
                <w:highlight w:val="none"/>
                <w:lang w:val="en-US" w:eastAsia="zh-CN"/>
              </w:rPr>
              <w:t>11</w:t>
            </w:r>
          </w:p>
        </w:tc>
        <w:tc>
          <w:tcPr>
            <w:tcW w:w="901" w:type="pct"/>
            <w:noWrap w:val="0"/>
            <w:vAlign w:val="center"/>
          </w:tcPr>
          <w:p w14:paraId="05CC6994">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eastAsia="zh-CN"/>
              </w:rPr>
            </w:pPr>
            <w:r>
              <w:rPr>
                <w:rFonts w:hint="eastAsia" w:ascii="Times New Roman" w:hAnsi="Times New Roman" w:eastAsia="仿宋_GB2312" w:cs="仿宋_GB2312"/>
                <w:color w:val="auto"/>
                <w:sz w:val="21"/>
                <w:szCs w:val="21"/>
                <w:highlight w:val="none"/>
                <w:lang w:eastAsia="zh-CN"/>
              </w:rPr>
              <w:t>经营者擅自使用他人有一定影响的企业名称</w:t>
            </w:r>
            <w:r>
              <w:rPr>
                <w:rStyle w:val="185"/>
                <w:rFonts w:hint="eastAsia" w:ascii="Times New Roman" w:hAnsi="Times New Roman" w:eastAsia="仿宋_GB2312" w:cs="仿宋_GB2312"/>
                <w:b w:val="0"/>
                <w:bCs w:val="0"/>
                <w:color w:val="auto"/>
                <w:sz w:val="21"/>
                <w:szCs w:val="21"/>
                <w:highlight w:val="none"/>
                <w:lang w:eastAsia="zh-CN"/>
              </w:rPr>
              <w:t>（包括简称、字号等）、社会组织名称（包括简称等）、姓名（包括笔名、艺名、译名等）的</w:t>
            </w:r>
          </w:p>
        </w:tc>
        <w:tc>
          <w:tcPr>
            <w:tcW w:w="790" w:type="pct"/>
            <w:noWrap w:val="0"/>
            <w:vAlign w:val="center"/>
          </w:tcPr>
          <w:p w14:paraId="4FB0972B">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经营者只进行名称注册</w:t>
            </w:r>
            <w:r>
              <w:rPr>
                <w:rFonts w:hint="eastAsia" w:ascii="Times New Roman" w:hAnsi="Times New Roman" w:eastAsia="仿宋_GB2312" w:cs="仿宋_GB2312"/>
                <w:color w:val="auto"/>
                <w:sz w:val="21"/>
                <w:szCs w:val="21"/>
                <w:highlight w:val="none"/>
                <w:lang w:eastAsia="zh-CN"/>
              </w:rPr>
              <w:t>但</w:t>
            </w:r>
            <w:r>
              <w:rPr>
                <w:rFonts w:hint="eastAsia" w:ascii="Times New Roman" w:hAnsi="Times New Roman" w:eastAsia="仿宋_GB2312" w:cs="仿宋_GB2312"/>
                <w:color w:val="auto"/>
                <w:sz w:val="21"/>
                <w:szCs w:val="21"/>
                <w:highlight w:val="none"/>
              </w:rPr>
              <w:t>未突出使用</w:t>
            </w:r>
            <w:r>
              <w:rPr>
                <w:rFonts w:hint="eastAsia" w:ascii="Times New Roman" w:hAnsi="Times New Roman" w:eastAsia="仿宋_GB2312" w:cs="仿宋_GB2312"/>
                <w:color w:val="auto"/>
                <w:sz w:val="21"/>
                <w:szCs w:val="21"/>
                <w:highlight w:val="none"/>
                <w:lang w:eastAsia="zh-CN"/>
              </w:rPr>
              <w:t>或经营者</w:t>
            </w:r>
            <w:r>
              <w:rPr>
                <w:rFonts w:hint="eastAsia" w:ascii="Times New Roman" w:hAnsi="Times New Roman" w:eastAsia="仿宋_GB2312" w:cs="仿宋_GB2312"/>
                <w:color w:val="auto"/>
                <w:sz w:val="21"/>
                <w:szCs w:val="21"/>
                <w:highlight w:val="none"/>
              </w:rPr>
              <w:t>未开展经营活动</w:t>
            </w:r>
            <w:r>
              <w:rPr>
                <w:rFonts w:hint="eastAsia" w:ascii="Times New Roman" w:hAnsi="Times New Roman" w:eastAsia="仿宋_GB2312" w:cs="仿宋_GB2312"/>
                <w:color w:val="auto"/>
                <w:sz w:val="21"/>
                <w:szCs w:val="21"/>
                <w:highlight w:val="none"/>
                <w:lang w:eastAsia="zh-CN"/>
              </w:rPr>
              <w:t>，没有造成危害后果，且及时改正的</w:t>
            </w:r>
          </w:p>
        </w:tc>
        <w:tc>
          <w:tcPr>
            <w:tcW w:w="3000" w:type="pct"/>
            <w:noWrap w:val="0"/>
            <w:vAlign w:val="center"/>
          </w:tcPr>
          <w:p w14:paraId="632CCAB8">
            <w:pPr>
              <w:keepNext w:val="0"/>
              <w:keepLines w:val="0"/>
              <w:pageBreakBefore w:val="0"/>
              <w:widowControl/>
              <w:spacing w:line="260" w:lineRule="exact"/>
              <w:jc w:val="left"/>
              <w:rPr>
                <w:rStyle w:val="185"/>
                <w:rFonts w:hint="eastAsia" w:ascii="Times New Roman" w:hAnsi="Times New Roman" w:eastAsia="仿宋_GB2312" w:cs="仿宋_GB2312"/>
                <w:b w:val="0"/>
                <w:bCs w:val="0"/>
                <w:color w:val="auto"/>
                <w:sz w:val="21"/>
                <w:szCs w:val="21"/>
                <w:highlight w:val="none"/>
                <w:lang w:eastAsia="zh-CN"/>
              </w:rPr>
            </w:pPr>
            <w:r>
              <w:rPr>
                <w:rStyle w:val="184"/>
                <w:rFonts w:hint="eastAsia" w:ascii="Times New Roman" w:hAnsi="Times New Roman" w:eastAsia="仿宋_GB2312" w:cs="仿宋_GB2312"/>
                <w:color w:val="auto"/>
                <w:sz w:val="21"/>
                <w:szCs w:val="21"/>
                <w:highlight w:val="none"/>
                <w:lang w:eastAsia="zh-CN"/>
              </w:rPr>
              <w:t>《中华人民共和国反不正当竞争法》</w:t>
            </w:r>
            <w:r>
              <w:rPr>
                <w:rStyle w:val="185"/>
                <w:rFonts w:hint="eastAsia" w:ascii="Times New Roman" w:hAnsi="Times New Roman" w:eastAsia="仿宋_GB2312" w:cs="仿宋_GB2312"/>
                <w:b w:val="0"/>
                <w:bCs w:val="0"/>
                <w:color w:val="auto"/>
                <w:sz w:val="21"/>
                <w:szCs w:val="21"/>
                <w:highlight w:val="none"/>
                <w:lang w:eastAsia="zh-CN"/>
              </w:rPr>
              <w:t>第六条第（二）项</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lang w:eastAsia="zh-CN"/>
              </w:rPr>
              <w:t>经营者不得实施下列混淆行为，引人误认为是他人商品或者与他人存在特定联系：（二）擅自使用他人有一定影响的企业名称（包括简称、字号等）、社会组织名称（包括简称等）、姓名（包括笔名、艺名、译名等）；</w:t>
            </w:r>
          </w:p>
          <w:p w14:paraId="4DD6F58A">
            <w:pPr>
              <w:keepNext w:val="0"/>
              <w:keepLines w:val="0"/>
              <w:pageBreakBefore w:val="0"/>
              <w:widowControl/>
              <w:spacing w:line="260" w:lineRule="exact"/>
              <w:jc w:val="left"/>
              <w:rPr>
                <w:rStyle w:val="185"/>
                <w:rFonts w:hint="eastAsia" w:ascii="Times New Roman" w:hAnsi="Times New Roman" w:eastAsia="仿宋_GB2312" w:cs="仿宋_GB2312"/>
                <w:b w:val="0"/>
                <w:bCs w:val="0"/>
                <w:color w:val="auto"/>
                <w:sz w:val="21"/>
                <w:szCs w:val="21"/>
                <w:highlight w:val="none"/>
                <w:lang w:eastAsia="zh-CN"/>
              </w:rPr>
            </w:pPr>
            <w:r>
              <w:rPr>
                <w:rStyle w:val="185"/>
                <w:rFonts w:hint="eastAsia" w:ascii="Times New Roman" w:hAnsi="Times New Roman" w:eastAsia="仿宋_GB2312" w:cs="仿宋_GB2312"/>
                <w:b w:val="0"/>
                <w:bCs w:val="0"/>
                <w:color w:val="auto"/>
                <w:sz w:val="21"/>
                <w:szCs w:val="21"/>
                <w:highlight w:val="none"/>
                <w:lang w:eastAsia="zh-CN"/>
              </w:rPr>
              <w:t>第十八条</w:t>
            </w:r>
            <w:r>
              <w:rPr>
                <w:rStyle w:val="185"/>
                <w:rFonts w:hint="eastAsia" w:eastAsia="仿宋_GB2312" w:cs="仿宋_GB2312"/>
                <w:b w:val="0"/>
                <w:bCs w:val="0"/>
                <w:color w:val="auto"/>
                <w:sz w:val="21"/>
                <w:szCs w:val="21"/>
                <w:highlight w:val="none"/>
                <w:lang w:eastAsia="zh-CN"/>
              </w:rPr>
              <w:t xml:space="preserve"> </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lang w:eastAsia="zh-CN"/>
              </w:rPr>
              <w:t>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p w14:paraId="6917577A">
            <w:pPr>
              <w:keepNext w:val="0"/>
              <w:keepLines w:val="0"/>
              <w:pageBreakBefore w:val="0"/>
              <w:widowControl/>
              <w:spacing w:line="260" w:lineRule="exact"/>
              <w:jc w:val="left"/>
              <w:rPr>
                <w:rStyle w:val="185"/>
                <w:rFonts w:hint="eastAsia" w:ascii="Times New Roman" w:hAnsi="Times New Roman" w:eastAsia="仿宋_GB2312" w:cs="仿宋_GB2312"/>
                <w:b w:val="0"/>
                <w:bCs w:val="0"/>
                <w:color w:val="auto"/>
                <w:sz w:val="21"/>
                <w:szCs w:val="21"/>
                <w:highlight w:val="none"/>
                <w:lang w:eastAsia="zh-CN"/>
              </w:rPr>
            </w:pPr>
            <w:r>
              <w:rPr>
                <w:rStyle w:val="185"/>
                <w:rFonts w:hint="eastAsia" w:ascii="Times New Roman" w:hAnsi="Times New Roman" w:eastAsia="仿宋_GB2312" w:cs="仿宋_GB2312"/>
                <w:b w:val="0"/>
                <w:bCs w:val="0"/>
                <w:color w:val="auto"/>
                <w:sz w:val="21"/>
                <w:szCs w:val="21"/>
                <w:highlight w:val="none"/>
                <w:lang w:eastAsia="zh-CN"/>
              </w:rPr>
              <w:t>经营者登记的企业名称违反本法第六条规定的，应当及时办理名称变更登记；名称变更前，由原企业登记机关以统一社会信用代码代替其名称。</w:t>
            </w:r>
          </w:p>
        </w:tc>
      </w:tr>
      <w:tr w14:paraId="474D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307" w:type="pct"/>
            <w:noWrap w:val="0"/>
            <w:vAlign w:val="center"/>
          </w:tcPr>
          <w:p w14:paraId="08333609">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1</w:t>
            </w:r>
            <w:r>
              <w:rPr>
                <w:rFonts w:hint="eastAsia" w:ascii="Times New Roman" w:hAnsi="Times New Roman" w:eastAsia="仿宋" w:cs="仿宋"/>
                <w:color w:val="auto"/>
                <w:sz w:val="21"/>
                <w:szCs w:val="21"/>
                <w:highlight w:val="none"/>
                <w:lang w:val="en-US" w:eastAsia="zh-CN"/>
              </w:rPr>
              <w:t>2</w:t>
            </w:r>
          </w:p>
        </w:tc>
        <w:tc>
          <w:tcPr>
            <w:tcW w:w="901" w:type="pct"/>
            <w:noWrap w:val="0"/>
            <w:vAlign w:val="center"/>
          </w:tcPr>
          <w:p w14:paraId="09A58F05">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电子商务经营者未在首页显著位置公示营业执照信息、行政许可信息、属于不需要办理市场主体登记情形等信息，或者上述信息的链接标识的</w:t>
            </w:r>
          </w:p>
        </w:tc>
        <w:tc>
          <w:tcPr>
            <w:tcW w:w="790" w:type="pct"/>
            <w:noWrap w:val="0"/>
            <w:vAlign w:val="center"/>
          </w:tcPr>
          <w:p w14:paraId="3E5D2B46">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1F1A7FE9">
            <w:pPr>
              <w:keepNext w:val="0"/>
              <w:keepLines w:val="0"/>
              <w:pageBreakBefore w:val="0"/>
              <w:widowControl/>
              <w:spacing w:line="280" w:lineRule="exac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《中华人民共和国电子商务法》</w:t>
            </w:r>
            <w:r>
              <w:rPr>
                <w:rStyle w:val="185"/>
                <w:rFonts w:hint="eastAsia" w:ascii="Times New Roman" w:hAnsi="Times New Roman" w:eastAsia="仿宋_GB2312" w:cs="仿宋_GB2312"/>
                <w:color w:val="auto"/>
                <w:sz w:val="21"/>
                <w:szCs w:val="21"/>
                <w:highlight w:val="none"/>
              </w:rPr>
              <w:t>第十五条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电子商务经营者应当在其首页显著位置，持续公示营业执照信息、与其经营业务有关的行政许可信息、属于依照本法第十条规定的不需要办理市场主体登记情形等信息，或者上述信息的链接标识。前款规定的信息发生变更的，电子商务经营者应当及时更新公示信息。</w:t>
            </w:r>
          </w:p>
          <w:p w14:paraId="68D14AE2">
            <w:pPr>
              <w:keepNext w:val="0"/>
              <w:keepLines w:val="0"/>
              <w:pageBreakBefore w:val="0"/>
              <w:widowControl/>
              <w:spacing w:line="280" w:lineRule="exact"/>
              <w:rPr>
                <w:rFonts w:hint="eastAsia" w:ascii="Times New Roman" w:hAnsi="Times New Roman" w:eastAsia="仿宋_GB2312" w:cs="仿宋_GB2312"/>
                <w:b/>
                <w:bCs/>
                <w:color w:val="auto"/>
                <w:sz w:val="21"/>
                <w:szCs w:val="21"/>
                <w:highlight w:val="none"/>
              </w:rPr>
            </w:pPr>
            <w:r>
              <w:rPr>
                <w:rStyle w:val="185"/>
                <w:rFonts w:hint="eastAsia" w:ascii="Times New Roman" w:hAnsi="Times New Roman" w:eastAsia="仿宋_GB2312" w:cs="仿宋_GB2312"/>
                <w:color w:val="auto"/>
                <w:sz w:val="21"/>
                <w:szCs w:val="21"/>
                <w:highlight w:val="none"/>
              </w:rPr>
              <w:t>第七十六条第一款第一项</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w:t>
            </w:r>
          </w:p>
        </w:tc>
      </w:tr>
      <w:tr w14:paraId="57E2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307" w:type="pct"/>
            <w:noWrap w:val="0"/>
            <w:vAlign w:val="center"/>
          </w:tcPr>
          <w:p w14:paraId="619A548F">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1</w:t>
            </w:r>
            <w:r>
              <w:rPr>
                <w:rFonts w:hint="eastAsia" w:ascii="Times New Roman" w:hAnsi="Times New Roman" w:eastAsia="仿宋" w:cs="仿宋"/>
                <w:color w:val="auto"/>
                <w:sz w:val="21"/>
                <w:szCs w:val="21"/>
                <w:highlight w:val="none"/>
                <w:lang w:val="en-US" w:eastAsia="zh-CN"/>
              </w:rPr>
              <w:t>3</w:t>
            </w:r>
          </w:p>
        </w:tc>
        <w:tc>
          <w:tcPr>
            <w:tcW w:w="901" w:type="pct"/>
            <w:noWrap w:val="0"/>
            <w:vAlign w:val="center"/>
          </w:tcPr>
          <w:p w14:paraId="5DA5CF57">
            <w:pPr>
              <w:keepNext w:val="0"/>
              <w:keepLines w:val="0"/>
              <w:pageBreakBefore w:val="0"/>
              <w:widowControl/>
              <w:spacing w:line="300" w:lineRule="exact"/>
              <w:jc w:val="left"/>
              <w:rPr>
                <w:rFonts w:hint="eastAsia" w:ascii="Times New Roman" w:hAnsi="Times New Roman" w:eastAsia="仿宋_GB2312" w:cs="仿宋_GB2312"/>
                <w:strike/>
                <w:color w:val="auto"/>
                <w:sz w:val="21"/>
                <w:szCs w:val="21"/>
                <w:highlight w:val="none"/>
              </w:rPr>
            </w:pPr>
            <w:r>
              <w:rPr>
                <w:rFonts w:hint="eastAsia" w:ascii="Times New Roman" w:hAnsi="Times New Roman" w:eastAsia="仿宋_GB2312" w:cs="仿宋_GB2312"/>
                <w:color w:val="auto"/>
                <w:sz w:val="21"/>
                <w:szCs w:val="21"/>
                <w:highlight w:val="none"/>
              </w:rPr>
              <w:t>电子商务经营者自行终止从事电子商务，未按规定在首页显著位置持续公示有关信息</w:t>
            </w:r>
          </w:p>
        </w:tc>
        <w:tc>
          <w:tcPr>
            <w:tcW w:w="790" w:type="pct"/>
            <w:noWrap w:val="0"/>
            <w:vAlign w:val="center"/>
          </w:tcPr>
          <w:p w14:paraId="69B381B3">
            <w:pPr>
              <w:keepNext w:val="0"/>
              <w:keepLines w:val="0"/>
              <w:pageBreakBefore w:val="0"/>
              <w:widowControl/>
              <w:spacing w:line="300" w:lineRule="exact"/>
              <w:rPr>
                <w:rFonts w:hint="eastAsia" w:ascii="Times New Roman" w:hAnsi="Times New Roman" w:eastAsia="仿宋_GB2312" w:cs="仿宋_GB2312"/>
                <w:strike/>
                <w:color w:val="auto"/>
                <w:sz w:val="21"/>
                <w:szCs w:val="21"/>
                <w:highlight w:val="none"/>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3629E7D3">
            <w:pPr>
              <w:keepNext w:val="0"/>
              <w:keepLines w:val="0"/>
              <w:pageBreakBefore w:val="0"/>
              <w:widowControl/>
              <w:spacing w:line="30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《中华人民共和国电子商务法》</w:t>
            </w:r>
            <w:r>
              <w:rPr>
                <w:rStyle w:val="185"/>
                <w:rFonts w:hint="eastAsia" w:ascii="Times New Roman" w:hAnsi="Times New Roman" w:eastAsia="仿宋_GB2312" w:cs="仿宋_GB2312"/>
                <w:color w:val="auto"/>
                <w:sz w:val="21"/>
                <w:szCs w:val="21"/>
                <w:highlight w:val="none"/>
              </w:rPr>
              <w:t>第十六条  电子商务经营者自行终止从事电子商务的，应当提前三十日在首页显著位置持续公示有关信息。</w:t>
            </w:r>
          </w:p>
          <w:p w14:paraId="5D4BFD4A">
            <w:pPr>
              <w:keepNext w:val="0"/>
              <w:keepLines w:val="0"/>
              <w:pageBreakBefore w:val="0"/>
              <w:widowControl/>
              <w:spacing w:line="300" w:lineRule="exact"/>
              <w:jc w:val="left"/>
              <w:rPr>
                <w:rFonts w:hint="eastAsia" w:ascii="Times New Roman" w:hAnsi="Times New Roman" w:eastAsia="仿宋_GB2312" w:cs="仿宋_GB2312"/>
                <w:b/>
                <w:bCs/>
                <w:strike/>
                <w:color w:val="auto"/>
                <w:sz w:val="21"/>
                <w:szCs w:val="21"/>
                <w:highlight w:val="none"/>
              </w:rPr>
            </w:pPr>
            <w:r>
              <w:rPr>
                <w:rStyle w:val="185"/>
                <w:rFonts w:hint="eastAsia" w:ascii="Times New Roman" w:hAnsi="Times New Roman" w:eastAsia="仿宋_GB2312" w:cs="仿宋_GB2312"/>
                <w:color w:val="auto"/>
                <w:sz w:val="21"/>
                <w:szCs w:val="21"/>
                <w:highlight w:val="none"/>
              </w:rPr>
              <w:t>第七十六条第一款第二项  电子商务经营者违反本法规定</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有下列行为之一的</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由市场监督管理部门责令限期改正</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可以处一万元以下的罚款</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对其中的电子商务平台经营者</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依照本法第八十一条第一款的规定处罚</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二</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未在首页显著位置持续公示终止电子商务的有关信息的。</w:t>
            </w:r>
          </w:p>
        </w:tc>
      </w:tr>
      <w:tr w14:paraId="3EBF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2" w:hRule="atLeast"/>
          <w:jc w:val="center"/>
        </w:trPr>
        <w:tc>
          <w:tcPr>
            <w:tcW w:w="307" w:type="pct"/>
            <w:noWrap w:val="0"/>
            <w:vAlign w:val="center"/>
          </w:tcPr>
          <w:p w14:paraId="1F6B05A8">
            <w:pPr>
              <w:widowControl/>
              <w:spacing w:line="280" w:lineRule="exact"/>
              <w:jc w:val="center"/>
              <w:rPr>
                <w:rFonts w:hint="eastAsia" w:ascii="Times New Roman" w:hAnsi="Times New Roman" w:eastAsia="仿宋" w:cs="仿宋"/>
                <w:color w:val="auto"/>
                <w:sz w:val="21"/>
                <w:szCs w:val="21"/>
                <w:highlight w:val="none"/>
                <w:lang w:val="en-US" w:eastAsia="zh-CN"/>
              </w:rPr>
            </w:pPr>
            <w:r>
              <w:rPr>
                <w:rFonts w:hint="eastAsia" w:ascii="Times New Roman" w:hAnsi="Times New Roman" w:eastAsia="仿宋" w:cs="仿宋"/>
                <w:color w:val="auto"/>
                <w:sz w:val="21"/>
                <w:szCs w:val="21"/>
                <w:highlight w:val="none"/>
                <w:lang w:val="en-US" w:eastAsia="zh-CN"/>
              </w:rPr>
              <w:t>14</w:t>
            </w:r>
          </w:p>
        </w:tc>
        <w:tc>
          <w:tcPr>
            <w:tcW w:w="901" w:type="pct"/>
            <w:noWrap w:val="0"/>
            <w:vAlign w:val="center"/>
          </w:tcPr>
          <w:p w14:paraId="2B066439">
            <w:pPr>
              <w:keepNext w:val="0"/>
              <w:keepLines w:val="0"/>
              <w:pageBreakBefore w:val="0"/>
              <w:widowControl/>
              <w:spacing w:line="300" w:lineRule="exact"/>
              <w:jc w:val="lef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电子商务经营者未明示用户信息查询、更正、删除以及用户注销的方式、程序，或者对用户信息查询、更正、删除以及用户注销设置不合理条件的</w:t>
            </w:r>
          </w:p>
        </w:tc>
        <w:tc>
          <w:tcPr>
            <w:tcW w:w="790" w:type="pct"/>
            <w:noWrap w:val="0"/>
            <w:vAlign w:val="center"/>
          </w:tcPr>
          <w:p w14:paraId="2B2E8AED">
            <w:pPr>
              <w:keepNext w:val="0"/>
              <w:keepLines w:val="0"/>
              <w:pageBreakBefore w:val="0"/>
              <w:widowControl/>
              <w:spacing w:line="300" w:lineRule="exac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16C75907">
            <w:pPr>
              <w:keepNext w:val="0"/>
              <w:keepLines w:val="0"/>
              <w:pageBreakBefore w:val="0"/>
              <w:widowControl/>
              <w:spacing w:line="300" w:lineRule="exac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《中华人民共和国电子商务法》</w:t>
            </w:r>
            <w:r>
              <w:rPr>
                <w:rStyle w:val="185"/>
                <w:rFonts w:hint="eastAsia" w:ascii="Times New Roman" w:hAnsi="Times New Roman" w:eastAsia="仿宋_GB2312" w:cs="仿宋_GB2312"/>
                <w:color w:val="auto"/>
                <w:sz w:val="21"/>
                <w:szCs w:val="21"/>
                <w:highlight w:val="none"/>
              </w:rPr>
              <w:t>第二十四条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电子商务经营者应当明示用户信息查询、更正、删除以及用户注销的方式、程序，不得对用户信息查询、更正、删除以及用户注销设置不合理条件。</w:t>
            </w:r>
          </w:p>
          <w:p w14:paraId="45B0FB0C">
            <w:pPr>
              <w:keepNext w:val="0"/>
              <w:keepLines w:val="0"/>
              <w:pageBreakBefore w:val="0"/>
              <w:widowControl/>
              <w:spacing w:line="300" w:lineRule="exact"/>
              <w:rPr>
                <w:rStyle w:val="185"/>
                <w:rFonts w:hint="eastAsia" w:ascii="Times New Roman" w:hAnsi="Times New Roman" w:eastAsia="仿宋_GB2312" w:cs="仿宋_GB2312"/>
                <w:color w:val="auto"/>
                <w:sz w:val="21"/>
                <w:szCs w:val="21"/>
                <w:highlight w:val="none"/>
              </w:rPr>
            </w:pPr>
            <w:r>
              <w:rPr>
                <w:rStyle w:val="185"/>
                <w:rFonts w:hint="eastAsia" w:ascii="Times New Roman" w:hAnsi="Times New Roman" w:eastAsia="仿宋_GB2312" w:cs="仿宋_GB2312"/>
                <w:color w:val="auto"/>
                <w:sz w:val="21"/>
                <w:szCs w:val="21"/>
                <w:highlight w:val="none"/>
              </w:rPr>
              <w:t>电子商务经营者收到用户信息查询或者更正、删除的申请的，应当在核实身份后及时提供查询或者更正、删除用户信息。用户注销的，电子商务经营者应当立即删除该用户的信息；依照法律、行政法规的规定或者双方约定保存的，依照其规定。</w:t>
            </w:r>
          </w:p>
          <w:p w14:paraId="2A0E413C">
            <w:pPr>
              <w:keepNext w:val="0"/>
              <w:keepLines w:val="0"/>
              <w:pageBreakBefore w:val="0"/>
              <w:widowControl/>
              <w:spacing w:line="300" w:lineRule="exact"/>
              <w:rPr>
                <w:rFonts w:hint="eastAsia" w:ascii="Times New Roman" w:hAnsi="Times New Roman" w:eastAsia="仿宋_GB2312" w:cs="仿宋_GB2312"/>
                <w:b/>
                <w:bCs/>
                <w:color w:val="auto"/>
                <w:sz w:val="21"/>
                <w:szCs w:val="21"/>
                <w:highlight w:val="none"/>
              </w:rPr>
            </w:pPr>
            <w:r>
              <w:rPr>
                <w:rStyle w:val="185"/>
                <w:rFonts w:hint="eastAsia" w:ascii="Times New Roman" w:hAnsi="Times New Roman" w:eastAsia="仿宋_GB2312" w:cs="仿宋_GB2312"/>
                <w:color w:val="auto"/>
                <w:sz w:val="21"/>
                <w:szCs w:val="21"/>
                <w:highlight w:val="none"/>
              </w:rPr>
              <w:t>第七十六条第一款第三项</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电子商务经营者违反本法规定，有下列行为之一的，由市场监督管理部门责令限期改正，可以处一万元以下的罚款，对其中的电子商务平台经营者，依照本法第八十一条第一款的规定处罚：（三）未明示用户信息查询、更正、删除以及用户注销的方式、程序，或者对用户信息查询、更正、删除以及用户注销设置不合理条件的。</w:t>
            </w:r>
          </w:p>
        </w:tc>
      </w:tr>
      <w:tr w14:paraId="1FF6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jc w:val="center"/>
        </w:trPr>
        <w:tc>
          <w:tcPr>
            <w:tcW w:w="307" w:type="pct"/>
            <w:noWrap w:val="0"/>
            <w:vAlign w:val="center"/>
          </w:tcPr>
          <w:p w14:paraId="5C6E0CF7">
            <w:pPr>
              <w:widowControl/>
              <w:spacing w:line="280" w:lineRule="exact"/>
              <w:jc w:val="center"/>
              <w:rPr>
                <w:rFonts w:hint="eastAsia" w:ascii="Times New Roman" w:hAnsi="Times New Roman" w:eastAsia="仿宋" w:cs="仿宋"/>
                <w:color w:val="auto"/>
                <w:sz w:val="21"/>
                <w:szCs w:val="21"/>
                <w:highlight w:val="none"/>
                <w:lang w:val="en-US" w:eastAsia="zh-CN"/>
              </w:rPr>
            </w:pPr>
            <w:r>
              <w:rPr>
                <w:rFonts w:hint="eastAsia" w:ascii="Times New Roman" w:hAnsi="Times New Roman" w:eastAsia="仿宋" w:cs="仿宋"/>
                <w:color w:val="auto"/>
                <w:sz w:val="21"/>
                <w:szCs w:val="21"/>
                <w:highlight w:val="none"/>
                <w:lang w:val="en-US" w:eastAsia="zh-CN"/>
              </w:rPr>
              <w:t>15</w:t>
            </w:r>
          </w:p>
        </w:tc>
        <w:tc>
          <w:tcPr>
            <w:tcW w:w="901" w:type="pct"/>
            <w:noWrap w:val="0"/>
            <w:vAlign w:val="center"/>
          </w:tcPr>
          <w:p w14:paraId="08904125">
            <w:pPr>
              <w:keepNext w:val="0"/>
              <w:keepLines w:val="0"/>
              <w:pageBreakBefore w:val="0"/>
              <w:widowControl/>
              <w:spacing w:line="30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未在首页显著位置持续公示平台服务协议、交易规则信息或者上述信息的链接标识的</w:t>
            </w:r>
          </w:p>
        </w:tc>
        <w:tc>
          <w:tcPr>
            <w:tcW w:w="790" w:type="pct"/>
            <w:noWrap w:val="0"/>
            <w:vAlign w:val="center"/>
          </w:tcPr>
          <w:p w14:paraId="6D1E9B4A">
            <w:pPr>
              <w:keepNext w:val="0"/>
              <w:keepLines w:val="0"/>
              <w:pageBreakBefore w:val="0"/>
              <w:widowControl/>
              <w:spacing w:line="300" w:lineRule="exac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7C8EE3D1">
            <w:pPr>
              <w:keepNext w:val="0"/>
              <w:keepLines w:val="0"/>
              <w:pageBreakBefore w:val="0"/>
              <w:widowControl/>
              <w:spacing w:line="300" w:lineRule="exact"/>
              <w:rPr>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《中华人民共和国电子商务法》</w:t>
            </w:r>
            <w:r>
              <w:rPr>
                <w:rFonts w:hint="eastAsia" w:ascii="Times New Roman" w:hAnsi="Times New Roman" w:eastAsia="仿宋_GB2312" w:cs="仿宋_GB2312"/>
                <w:color w:val="auto"/>
                <w:sz w:val="21"/>
                <w:szCs w:val="21"/>
                <w:highlight w:val="none"/>
              </w:rPr>
              <w:t>第三十三条</w:t>
            </w:r>
            <w:r>
              <w:rPr>
                <w:rFonts w:hint="eastAsia" w:eastAsia="仿宋_GB2312" w:cs="仿宋_GB2312"/>
                <w:color w:val="auto"/>
                <w:sz w:val="21"/>
                <w:szCs w:val="21"/>
                <w:highlight w:val="none"/>
                <w:lang w:val="en-US" w:eastAsia="zh-CN"/>
              </w:rPr>
              <w:t xml:space="preserve">  </w:t>
            </w:r>
            <w:r>
              <w:rPr>
                <w:rFonts w:hint="eastAsia" w:ascii="Times New Roman" w:hAnsi="Times New Roman" w:eastAsia="仿宋_GB2312" w:cs="仿宋_GB2312"/>
                <w:color w:val="auto"/>
                <w:sz w:val="21"/>
                <w:szCs w:val="21"/>
                <w:highlight w:val="none"/>
              </w:rPr>
              <w:t>电子商务平台经营者应当在其首页显著位置持续公示平台服务协议和交易规则信息或者上述信息的链接标识，并保证经营者和消费者能够便利、完整地阅览和下载。</w:t>
            </w:r>
          </w:p>
          <w:p w14:paraId="722A7B0C">
            <w:pPr>
              <w:keepNext w:val="0"/>
              <w:keepLines w:val="0"/>
              <w:pageBreakBefore w:val="0"/>
              <w:widowControl/>
              <w:spacing w:line="300" w:lineRule="exact"/>
              <w:ind w:firstLine="420"/>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第八十一条</w:t>
            </w:r>
            <w:r>
              <w:rPr>
                <w:rFonts w:hint="eastAsia" w:eastAsia="仿宋_GB2312" w:cs="仿宋_GB2312"/>
                <w:color w:val="auto"/>
                <w:sz w:val="21"/>
                <w:szCs w:val="21"/>
                <w:highlight w:val="none"/>
                <w:lang w:val="en-US" w:eastAsia="zh-CN"/>
              </w:rPr>
              <w:t xml:space="preserve">  </w:t>
            </w:r>
            <w:r>
              <w:rPr>
                <w:rFonts w:hint="eastAsia" w:ascii="Times New Roman" w:hAnsi="Times New Roman" w:eastAsia="仿宋_GB2312" w:cs="仿宋_GB2312"/>
                <w:color w:val="auto"/>
                <w:sz w:val="21"/>
                <w:szCs w:val="21"/>
                <w:highlight w:val="none"/>
              </w:rPr>
              <w:t>电子商务平台经营者违反本法规定，有下列行为之一的，由市场监督管理部门责令限期改正，可以处二万元以上十万元以下的罚款；情节严重的，处十万元以上五十万元以下的罚款：</w:t>
            </w:r>
          </w:p>
          <w:p w14:paraId="4663716C">
            <w:pPr>
              <w:keepNext w:val="0"/>
              <w:keepLines w:val="0"/>
              <w:pageBreakBefore w:val="0"/>
              <w:widowControl/>
              <w:spacing w:line="300" w:lineRule="exact"/>
              <w:ind w:firstLine="420"/>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（一）未在首页显著位置持续公示平台服务协议、交易规则信息或者上述信息的链接标识的；</w:t>
            </w:r>
          </w:p>
        </w:tc>
      </w:tr>
      <w:tr w14:paraId="5DE6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2" w:hRule="atLeast"/>
          <w:jc w:val="center"/>
        </w:trPr>
        <w:tc>
          <w:tcPr>
            <w:tcW w:w="307" w:type="pct"/>
            <w:noWrap w:val="0"/>
            <w:vAlign w:val="center"/>
          </w:tcPr>
          <w:p w14:paraId="6377164C">
            <w:pPr>
              <w:widowControl/>
              <w:spacing w:line="280" w:lineRule="exact"/>
              <w:jc w:val="center"/>
              <w:rPr>
                <w:rFonts w:hint="eastAsia" w:ascii="Times New Roman" w:hAnsi="Times New Roman" w:eastAsia="仿宋" w:cs="仿宋"/>
                <w:color w:val="auto"/>
                <w:sz w:val="21"/>
                <w:szCs w:val="21"/>
                <w:highlight w:val="none"/>
                <w:lang w:val="en-US" w:eastAsia="zh-CN"/>
              </w:rPr>
            </w:pPr>
            <w:r>
              <w:rPr>
                <w:rFonts w:hint="eastAsia" w:ascii="Times New Roman" w:hAnsi="Times New Roman" w:eastAsia="仿宋" w:cs="仿宋"/>
                <w:color w:val="auto"/>
                <w:sz w:val="21"/>
                <w:szCs w:val="21"/>
                <w:highlight w:val="none"/>
              </w:rPr>
              <w:t>1</w:t>
            </w:r>
            <w:r>
              <w:rPr>
                <w:rFonts w:hint="eastAsia" w:ascii="Times New Roman" w:hAnsi="Times New Roman" w:eastAsia="仿宋" w:cs="仿宋"/>
                <w:color w:val="auto"/>
                <w:sz w:val="21"/>
                <w:szCs w:val="21"/>
                <w:highlight w:val="none"/>
                <w:lang w:val="en-US" w:eastAsia="zh-CN"/>
              </w:rPr>
              <w:t>6</w:t>
            </w:r>
          </w:p>
        </w:tc>
        <w:tc>
          <w:tcPr>
            <w:tcW w:w="901" w:type="pct"/>
            <w:noWrap w:val="0"/>
            <w:vAlign w:val="center"/>
          </w:tcPr>
          <w:p w14:paraId="3E03B4E6">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修改交易规则未在首页显著位置公开征求意见，未按照规定的时间提前公示修改内容，或者阻止平台内经营者退出的</w:t>
            </w:r>
          </w:p>
        </w:tc>
        <w:tc>
          <w:tcPr>
            <w:tcW w:w="790" w:type="pct"/>
            <w:noWrap w:val="0"/>
            <w:vAlign w:val="center"/>
          </w:tcPr>
          <w:p w14:paraId="237DEC56">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487C1F9B">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《中华人民共和国电子商务法》</w:t>
            </w:r>
            <w:r>
              <w:rPr>
                <w:rFonts w:hint="eastAsia" w:ascii="Times New Roman" w:hAnsi="Times New Roman" w:eastAsia="仿宋_GB2312" w:cs="仿宋_GB2312"/>
                <w:color w:val="auto"/>
                <w:sz w:val="21"/>
                <w:szCs w:val="21"/>
                <w:highlight w:val="none"/>
              </w:rPr>
              <w:t>第三十四条</w:t>
            </w:r>
            <w:r>
              <w:rPr>
                <w:rFonts w:hint="eastAsia" w:eastAsia="仿宋_GB2312" w:cs="仿宋_GB2312"/>
                <w:color w:val="auto"/>
                <w:sz w:val="21"/>
                <w:szCs w:val="21"/>
                <w:highlight w:val="none"/>
                <w:lang w:val="en-US" w:eastAsia="zh-CN"/>
              </w:rPr>
              <w:t xml:space="preserve">  </w:t>
            </w:r>
            <w:r>
              <w:rPr>
                <w:rFonts w:hint="eastAsia" w:ascii="Times New Roman" w:hAnsi="Times New Roman" w:eastAsia="仿宋_GB2312" w:cs="仿宋_GB2312"/>
                <w:color w:val="auto"/>
                <w:sz w:val="21"/>
                <w:szCs w:val="21"/>
                <w:highlight w:val="none"/>
              </w:rPr>
              <w:t>电子商务平台经营者修改平台服务协议和交易规则，应当在其首页显著位置公开征求意见，采取合理措施确保有关各方能够及时充分表达意见。修改内容应当至少在实施前七日予以公示。</w:t>
            </w:r>
          </w:p>
          <w:p w14:paraId="55D6719D">
            <w:pPr>
              <w:keepNext w:val="0"/>
              <w:keepLines w:val="0"/>
              <w:pageBreakBefore w:val="0"/>
              <w:widowControl/>
              <w:spacing w:line="280" w:lineRule="exact"/>
              <w:ind w:firstLine="0"/>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平台内经营者不接受修改内容，要求退出平台的，电子商务平台经营者不得阻止，并按照修改前的服务协议和交易规则承担相关责任。</w:t>
            </w:r>
          </w:p>
          <w:p w14:paraId="569CCA60">
            <w:pPr>
              <w:keepNext w:val="0"/>
              <w:keepLines w:val="0"/>
              <w:pageBreakBefore w:val="0"/>
              <w:widowControl/>
              <w:spacing w:line="280" w:lineRule="exact"/>
              <w:ind w:firstLine="0"/>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第八十一条</w:t>
            </w:r>
            <w:r>
              <w:rPr>
                <w:rFonts w:hint="eastAsia" w:eastAsia="仿宋_GB2312" w:cs="仿宋_GB2312"/>
                <w:color w:val="auto"/>
                <w:sz w:val="21"/>
                <w:szCs w:val="21"/>
                <w:highlight w:val="none"/>
                <w:lang w:val="en-US" w:eastAsia="zh-CN"/>
              </w:rPr>
              <w:t xml:space="preserve">  </w:t>
            </w:r>
            <w:r>
              <w:rPr>
                <w:rFonts w:hint="eastAsia" w:ascii="Times New Roman" w:hAnsi="Times New Roman" w:eastAsia="仿宋_GB2312" w:cs="仿宋_GB2312"/>
                <w:color w:val="auto"/>
                <w:sz w:val="21"/>
                <w:szCs w:val="21"/>
                <w:highlight w:val="none"/>
              </w:rPr>
              <w:t>电子商务平台经营者违反本法规定，有下列行为之一的，由市场监督管理部门责令限期改正，可以处二万元以上十万元以下的罚款；情节严重的，处十万元以上五十万元以下的罚款：</w:t>
            </w:r>
          </w:p>
          <w:p w14:paraId="6A94EAB0">
            <w:pPr>
              <w:keepNext w:val="0"/>
              <w:keepLines w:val="0"/>
              <w:pageBreakBefore w:val="0"/>
              <w:widowControl/>
              <w:spacing w:line="280" w:lineRule="exact"/>
              <w:ind w:firstLine="0"/>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（二）修改交易规则未在首页显著位置公开征求意见，未按照规定的时间提前公示修改内容，或者阻止平台内经营者退出的；</w:t>
            </w:r>
          </w:p>
        </w:tc>
      </w:tr>
      <w:tr w14:paraId="6073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307" w:type="pct"/>
            <w:noWrap w:val="0"/>
            <w:vAlign w:val="center"/>
          </w:tcPr>
          <w:p w14:paraId="1C5D56D9">
            <w:pPr>
              <w:widowControl/>
              <w:spacing w:line="280" w:lineRule="exact"/>
              <w:jc w:val="center"/>
              <w:rPr>
                <w:rFonts w:hint="eastAsia" w:ascii="Times New Roman" w:hAnsi="Times New Roman" w:eastAsia="仿宋" w:cs="仿宋"/>
                <w:color w:val="auto"/>
                <w:sz w:val="21"/>
                <w:szCs w:val="21"/>
                <w:highlight w:val="none"/>
                <w:lang w:val="en-US" w:eastAsia="zh-CN"/>
              </w:rPr>
            </w:pPr>
            <w:r>
              <w:rPr>
                <w:rFonts w:hint="eastAsia" w:ascii="Times New Roman" w:hAnsi="Times New Roman" w:eastAsia="仿宋" w:cs="仿宋"/>
                <w:color w:val="auto"/>
                <w:sz w:val="21"/>
                <w:szCs w:val="21"/>
                <w:highlight w:val="none"/>
              </w:rPr>
              <w:t>17</w:t>
            </w:r>
          </w:p>
        </w:tc>
        <w:tc>
          <w:tcPr>
            <w:tcW w:w="901" w:type="pct"/>
            <w:noWrap w:val="0"/>
            <w:vAlign w:val="center"/>
          </w:tcPr>
          <w:p w14:paraId="4D71B45E">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 xml:space="preserve">参与传销未发展新成员及未收取非法利益，积极配合调查的 </w:t>
            </w:r>
          </w:p>
        </w:tc>
        <w:tc>
          <w:tcPr>
            <w:tcW w:w="790" w:type="pct"/>
            <w:noWrap w:val="0"/>
            <w:vAlign w:val="center"/>
          </w:tcPr>
          <w:p w14:paraId="7F6E5114">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49C28681">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《禁止传销条例》</w:t>
            </w:r>
            <w:r>
              <w:rPr>
                <w:rStyle w:val="185"/>
                <w:rFonts w:hint="eastAsia" w:ascii="Times New Roman" w:hAnsi="Times New Roman" w:eastAsia="仿宋_GB2312" w:cs="仿宋_GB2312"/>
                <w:color w:val="auto"/>
                <w:sz w:val="21"/>
                <w:szCs w:val="21"/>
                <w:highlight w:val="none"/>
              </w:rPr>
              <w:t>第七条：下列行为，属于传销行为：（一）组织者或者经营者通过发展人员，要求被发展人员发展其他人员加入，对发展的人员以其直接或者间接滚动发展的人员数量为依据计算和给付报酬（包括物质奖励和其他经济利益），牟取非法利益的；（二）组织者或者经营者通过发展人员，要求被发展人员交纳费用或者以认购商品等方式变相交纳费用，取得加入或者发展其他人员加入的资格，牟取非法利益的；（三）组织者或者经营者通过发展人员，要求被发展人员发展其他人员加入，形成上下线关系，并以下线的销售业绩为依据计算和给付上线报酬，牟取非法利益的。</w:t>
            </w:r>
          </w:p>
          <w:p w14:paraId="180D21F8">
            <w:pPr>
              <w:keepNext w:val="0"/>
              <w:keepLines w:val="0"/>
              <w:pageBreakBefore w:val="0"/>
              <w:widowControl/>
              <w:spacing w:line="280" w:lineRule="exact"/>
              <w:jc w:val="left"/>
              <w:rPr>
                <w:rFonts w:hint="eastAsia" w:ascii="Times New Roman" w:hAnsi="Times New Roman" w:eastAsia="仿宋_GB2312" w:cs="仿宋_GB2312"/>
                <w:b/>
                <w:bCs/>
                <w:color w:val="auto"/>
                <w:sz w:val="21"/>
                <w:szCs w:val="21"/>
                <w:highlight w:val="none"/>
              </w:rPr>
            </w:pPr>
            <w:r>
              <w:rPr>
                <w:rStyle w:val="185"/>
                <w:rFonts w:hint="eastAsia" w:ascii="Times New Roman" w:hAnsi="Times New Roman" w:eastAsia="仿宋_GB2312" w:cs="仿宋_GB2312"/>
                <w:color w:val="auto"/>
                <w:sz w:val="21"/>
                <w:szCs w:val="21"/>
                <w:highlight w:val="none"/>
              </w:rPr>
              <w:t>第二十四条第三款：有本条例第七条规定的行为，参加传销的，由工商行政管理部门责令停止违法行为，可以处 2000 元以下的罚款。</w:t>
            </w:r>
          </w:p>
        </w:tc>
      </w:tr>
      <w:tr w14:paraId="0B1D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jc w:val="center"/>
        </w:trPr>
        <w:tc>
          <w:tcPr>
            <w:tcW w:w="307" w:type="pct"/>
            <w:noWrap w:val="0"/>
            <w:vAlign w:val="center"/>
          </w:tcPr>
          <w:p w14:paraId="2D6B47B0">
            <w:pPr>
              <w:widowControl/>
              <w:spacing w:line="280" w:lineRule="exact"/>
              <w:jc w:val="center"/>
              <w:rPr>
                <w:rFonts w:hint="eastAsia" w:ascii="Times New Roman" w:hAnsi="Times New Roman" w:eastAsia="仿宋" w:cs="仿宋"/>
                <w:color w:val="auto"/>
                <w:sz w:val="21"/>
                <w:szCs w:val="21"/>
                <w:highlight w:val="none"/>
                <w:lang w:val="en-US" w:eastAsia="zh-CN"/>
              </w:rPr>
            </w:pPr>
            <w:r>
              <w:rPr>
                <w:rFonts w:hint="eastAsia" w:ascii="Times New Roman" w:hAnsi="Times New Roman" w:eastAsia="仿宋" w:cs="仿宋"/>
                <w:color w:val="auto"/>
                <w:sz w:val="21"/>
                <w:szCs w:val="21"/>
                <w:highlight w:val="none"/>
              </w:rPr>
              <w:t>18</w:t>
            </w:r>
          </w:p>
        </w:tc>
        <w:tc>
          <w:tcPr>
            <w:tcW w:w="901" w:type="pct"/>
            <w:noWrap w:val="0"/>
            <w:vAlign w:val="center"/>
          </w:tcPr>
          <w:p w14:paraId="0BD7ADD7">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rPr>
            </w:pPr>
            <w:r>
              <w:rPr>
                <w:rStyle w:val="185"/>
                <w:rFonts w:hint="eastAsia" w:ascii="Times New Roman" w:hAnsi="Times New Roman" w:eastAsia="仿宋_GB2312" w:cs="仿宋_GB2312"/>
                <w:b w:val="0"/>
                <w:bCs w:val="0"/>
                <w:color w:val="auto"/>
                <w:sz w:val="21"/>
                <w:szCs w:val="21"/>
                <w:highlight w:val="none"/>
                <w:lang w:eastAsia="zh-CN"/>
              </w:rPr>
              <w:t>销售假冒专利产品的</w:t>
            </w:r>
          </w:p>
        </w:tc>
        <w:tc>
          <w:tcPr>
            <w:tcW w:w="790" w:type="pct"/>
            <w:noWrap w:val="0"/>
            <w:vAlign w:val="center"/>
          </w:tcPr>
          <w:p w14:paraId="596BEF7F">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rPr>
            </w:pPr>
            <w:r>
              <w:rPr>
                <w:rStyle w:val="185"/>
                <w:rFonts w:hint="eastAsia" w:ascii="Times New Roman" w:hAnsi="Times New Roman" w:eastAsia="仿宋_GB2312" w:cs="仿宋_GB2312"/>
                <w:b w:val="0"/>
                <w:bCs w:val="0"/>
                <w:color w:val="auto"/>
                <w:sz w:val="21"/>
                <w:szCs w:val="21"/>
                <w:highlight w:val="none"/>
                <w:lang w:eastAsia="zh-CN"/>
              </w:rPr>
              <w:t>有证据足以证明无主观过错，不知道是假冒专利的产品，并且能够提供该产品合法来源</w:t>
            </w:r>
            <w:r>
              <w:rPr>
                <w:rStyle w:val="185"/>
                <w:rFonts w:hint="eastAsia" w:ascii="Times New Roman" w:hAnsi="Times New Roman" w:eastAsia="仿宋_GB2312" w:cs="仿宋_GB2312"/>
                <w:b w:val="0"/>
                <w:bCs w:val="0"/>
                <w:color w:val="auto"/>
                <w:sz w:val="21"/>
                <w:szCs w:val="21"/>
                <w:highlight w:val="none"/>
                <w:lang w:val="en-US" w:eastAsia="zh-CN"/>
              </w:rPr>
              <w:t>的，不予罚款</w:t>
            </w:r>
          </w:p>
        </w:tc>
        <w:tc>
          <w:tcPr>
            <w:tcW w:w="3000" w:type="pct"/>
            <w:noWrap w:val="0"/>
            <w:vAlign w:val="center"/>
          </w:tcPr>
          <w:p w14:paraId="7EA496EE">
            <w:pPr>
              <w:keepNext w:val="0"/>
              <w:keepLines w:val="0"/>
              <w:pageBreakBefore w:val="0"/>
              <w:widowControl/>
              <w:spacing w:line="280" w:lineRule="exact"/>
              <w:rPr>
                <w:rStyle w:val="186"/>
                <w:rFonts w:hint="eastAsia" w:ascii="Times New Roman" w:hAnsi="Times New Roman" w:eastAsia="仿宋_GB2312" w:cs="仿宋_GB2312"/>
                <w:b w:val="0"/>
                <w:bCs w:val="0"/>
                <w:color w:val="auto"/>
                <w:sz w:val="21"/>
                <w:szCs w:val="21"/>
                <w:highlight w:val="none"/>
                <w:lang w:eastAsia="zh-CN"/>
              </w:rPr>
            </w:pPr>
            <w:r>
              <w:rPr>
                <w:rStyle w:val="186"/>
                <w:rFonts w:hint="eastAsia" w:ascii="Times New Roman" w:hAnsi="Times New Roman" w:eastAsia="仿宋_GB2312" w:cs="仿宋_GB2312"/>
                <w:color w:val="auto"/>
                <w:sz w:val="21"/>
                <w:szCs w:val="21"/>
                <w:highlight w:val="none"/>
                <w:lang w:eastAsia="zh-CN"/>
              </w:rPr>
              <w:t>《中华人民共和国专利法》</w:t>
            </w:r>
            <w:r>
              <w:rPr>
                <w:rStyle w:val="186"/>
                <w:rFonts w:hint="eastAsia" w:ascii="Times New Roman" w:hAnsi="Times New Roman" w:eastAsia="仿宋_GB2312" w:cs="仿宋_GB2312"/>
                <w:b w:val="0"/>
                <w:bCs w:val="0"/>
                <w:color w:val="auto"/>
                <w:sz w:val="21"/>
                <w:szCs w:val="21"/>
                <w:highlight w:val="none"/>
                <w:lang w:eastAsia="zh-CN"/>
              </w:rPr>
              <w:t>第六十八条</w:t>
            </w:r>
            <w:r>
              <w:rPr>
                <w:rStyle w:val="186"/>
                <w:rFonts w:hint="eastAsia" w:eastAsia="仿宋_GB2312" w:cs="仿宋_GB2312"/>
                <w:b w:val="0"/>
                <w:bCs w:val="0"/>
                <w:color w:val="auto"/>
                <w:sz w:val="21"/>
                <w:szCs w:val="21"/>
                <w:highlight w:val="none"/>
                <w:lang w:val="en-US" w:eastAsia="zh-CN"/>
              </w:rPr>
              <w:t xml:space="preserve">  </w:t>
            </w:r>
            <w:r>
              <w:rPr>
                <w:rStyle w:val="186"/>
                <w:rFonts w:hint="eastAsia" w:ascii="Times New Roman" w:hAnsi="Times New Roman" w:eastAsia="仿宋_GB2312" w:cs="仿宋_GB2312"/>
                <w:b w:val="0"/>
                <w:bCs w:val="0"/>
                <w:color w:val="auto"/>
                <w:sz w:val="21"/>
                <w:szCs w:val="21"/>
                <w:highlight w:val="none"/>
                <w:lang w:eastAsia="zh-CN"/>
              </w:rPr>
              <w:t>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14:paraId="75876900">
            <w:pPr>
              <w:keepNext w:val="0"/>
              <w:keepLines w:val="0"/>
              <w:pageBreakBefore w:val="0"/>
              <w:widowControl/>
              <w:spacing w:line="280" w:lineRule="exact"/>
              <w:rPr>
                <w:rStyle w:val="186"/>
                <w:rFonts w:hint="eastAsia" w:ascii="Times New Roman" w:hAnsi="Times New Roman" w:eastAsia="仿宋_GB2312" w:cs="仿宋_GB2312"/>
                <w:b w:val="0"/>
                <w:bCs w:val="0"/>
                <w:color w:val="auto"/>
                <w:sz w:val="21"/>
                <w:szCs w:val="21"/>
                <w:highlight w:val="none"/>
                <w:lang w:val="en-US" w:eastAsia="zh-CN"/>
              </w:rPr>
            </w:pPr>
            <w:r>
              <w:rPr>
                <w:rStyle w:val="186"/>
                <w:rFonts w:hint="eastAsia" w:ascii="Times New Roman" w:hAnsi="Times New Roman" w:eastAsia="仿宋_GB2312" w:cs="仿宋_GB2312"/>
                <w:b/>
                <w:bCs/>
                <w:color w:val="auto"/>
                <w:sz w:val="21"/>
                <w:szCs w:val="21"/>
                <w:highlight w:val="none"/>
                <w:lang w:eastAsia="zh-CN"/>
              </w:rPr>
              <w:t>《中华人民共和国专利法实施细则》</w:t>
            </w:r>
            <w:r>
              <w:rPr>
                <w:rStyle w:val="186"/>
                <w:rFonts w:hint="eastAsia" w:ascii="Times New Roman" w:hAnsi="Times New Roman" w:eastAsia="仿宋_GB2312" w:cs="仿宋_GB2312"/>
                <w:b w:val="0"/>
                <w:bCs w:val="0"/>
                <w:color w:val="auto"/>
                <w:sz w:val="21"/>
                <w:szCs w:val="21"/>
                <w:highlight w:val="none"/>
                <w:lang w:eastAsia="zh-CN"/>
              </w:rPr>
              <w:t>第八十四条第三款</w:t>
            </w:r>
            <w:r>
              <w:rPr>
                <w:rStyle w:val="186"/>
                <w:rFonts w:hint="eastAsia" w:ascii="Times New Roman" w:hAnsi="Times New Roman" w:eastAsia="仿宋_GB2312" w:cs="仿宋_GB2312"/>
                <w:b w:val="0"/>
                <w:bCs w:val="0"/>
                <w:color w:val="auto"/>
                <w:sz w:val="21"/>
                <w:szCs w:val="21"/>
                <w:highlight w:val="none"/>
                <w:lang w:val="en-US" w:eastAsia="zh-CN"/>
              </w:rPr>
              <w:t xml:space="preserve">  销售不知道是假冒专利的产品，并且能够证明该产品合法来源的，由管理专利工作的部门责令停止销售，但免除罚款的处罚。</w:t>
            </w:r>
          </w:p>
        </w:tc>
      </w:tr>
      <w:tr w14:paraId="51FD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307" w:type="pct"/>
            <w:noWrap w:val="0"/>
            <w:vAlign w:val="center"/>
          </w:tcPr>
          <w:p w14:paraId="347D538F">
            <w:pPr>
              <w:widowControl/>
              <w:spacing w:line="280" w:lineRule="exact"/>
              <w:jc w:val="center"/>
              <w:rPr>
                <w:rFonts w:hint="eastAsia" w:ascii="Times New Roman" w:hAnsi="Times New Roman" w:eastAsia="仿宋" w:cs="仿宋"/>
                <w:color w:val="auto"/>
                <w:sz w:val="21"/>
                <w:szCs w:val="21"/>
                <w:highlight w:val="none"/>
                <w:lang w:val="en-US" w:eastAsia="zh-CN"/>
              </w:rPr>
            </w:pPr>
            <w:r>
              <w:rPr>
                <w:rFonts w:hint="eastAsia" w:ascii="Times New Roman" w:hAnsi="Times New Roman" w:eastAsia="仿宋" w:cs="仿宋"/>
                <w:color w:val="auto"/>
                <w:sz w:val="21"/>
                <w:szCs w:val="21"/>
                <w:highlight w:val="none"/>
              </w:rPr>
              <w:t>19</w:t>
            </w:r>
          </w:p>
        </w:tc>
        <w:tc>
          <w:tcPr>
            <w:tcW w:w="901" w:type="pct"/>
            <w:noWrap w:val="0"/>
            <w:vAlign w:val="center"/>
          </w:tcPr>
          <w:p w14:paraId="0CE1B7E7">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rPr>
            </w:pPr>
            <w:r>
              <w:rPr>
                <w:rFonts w:hint="eastAsia" w:ascii="Times New Roman" w:hAnsi="Times New Roman" w:eastAsia="仿宋_GB2312" w:cs="仿宋_GB2312"/>
                <w:color w:val="auto"/>
                <w:sz w:val="21"/>
                <w:szCs w:val="21"/>
                <w:highlight w:val="none"/>
              </w:rPr>
              <w:t>专利代理机构合伙人、股东或者法定代表人等事项发生变化未办理变更手续的</w:t>
            </w:r>
          </w:p>
        </w:tc>
        <w:tc>
          <w:tcPr>
            <w:tcW w:w="790" w:type="pct"/>
            <w:noWrap w:val="0"/>
            <w:vAlign w:val="center"/>
          </w:tcPr>
          <w:p w14:paraId="17E68A8D">
            <w:pPr>
              <w:keepNext w:val="0"/>
              <w:keepLines w:val="0"/>
              <w:pageBreakBefore w:val="0"/>
              <w:widowControl/>
              <w:spacing w:line="280" w:lineRule="exact"/>
              <w:rPr>
                <w:rFonts w:hint="eastAsia" w:ascii="Times New Roman" w:hAnsi="Times New Roman" w:eastAsia="仿宋_GB2312" w:cs="仿宋_GB2312"/>
                <w:strike/>
                <w:color w:val="auto"/>
                <w:sz w:val="21"/>
                <w:szCs w:val="21"/>
                <w:highlight w:val="none"/>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7C9CDE33">
            <w:pPr>
              <w:keepNext w:val="0"/>
              <w:keepLines w:val="0"/>
              <w:pageBreakBefore w:val="0"/>
              <w:widowControl/>
              <w:spacing w:line="280" w:lineRule="exact"/>
              <w:rPr>
                <w:rFonts w:hint="eastAsia" w:ascii="Times New Roman" w:hAnsi="Times New Roman" w:eastAsia="仿宋_GB2312" w:cs="仿宋_GB2312"/>
                <w:b/>
                <w:bCs/>
                <w:strike/>
                <w:color w:val="auto"/>
                <w:sz w:val="21"/>
                <w:szCs w:val="21"/>
                <w:highlight w:val="none"/>
              </w:rPr>
            </w:pPr>
            <w:r>
              <w:rPr>
                <w:rStyle w:val="186"/>
                <w:rFonts w:hint="eastAsia" w:ascii="Times New Roman" w:hAnsi="Times New Roman" w:eastAsia="仿宋_GB2312" w:cs="仿宋_GB2312"/>
                <w:color w:val="auto"/>
                <w:sz w:val="21"/>
                <w:szCs w:val="21"/>
                <w:highlight w:val="none"/>
              </w:rPr>
              <w:t>《专利代理条例》</w:t>
            </w:r>
            <w:r>
              <w:rPr>
                <w:rStyle w:val="187"/>
                <w:rFonts w:hint="eastAsia" w:ascii="Times New Roman" w:hAnsi="Times New Roman" w:eastAsia="仿宋_GB2312" w:cs="仿宋_GB2312"/>
                <w:color w:val="auto"/>
                <w:sz w:val="21"/>
                <w:szCs w:val="21"/>
                <w:highlight w:val="none"/>
              </w:rPr>
              <w:t>第二十五条第一款第一项</w:t>
            </w:r>
            <w:r>
              <w:rPr>
                <w:rStyle w:val="187"/>
                <w:rFonts w:hint="eastAsia" w:eastAsia="仿宋_GB2312" w:cs="仿宋_GB2312"/>
                <w:color w:val="auto"/>
                <w:sz w:val="21"/>
                <w:szCs w:val="21"/>
                <w:highlight w:val="none"/>
                <w:lang w:val="en-US" w:eastAsia="zh-CN"/>
              </w:rPr>
              <w:t xml:space="preserve"> </w:t>
            </w:r>
            <w:r>
              <w:rPr>
                <w:rStyle w:val="187"/>
                <w:rFonts w:hint="eastAsia" w:ascii="Times New Roman" w:hAnsi="Times New Roman" w:eastAsia="仿宋_GB2312" w:cs="仿宋_GB2312"/>
                <w:color w:val="auto"/>
                <w:sz w:val="21"/>
                <w:szCs w:val="21"/>
                <w:highlight w:val="none"/>
              </w:rPr>
              <w:t xml:space="preserve"> 专利代理机构有下列行为之一的，由省、自治区、直辖市人民政府管理专利工作的部门责令限期改正，予以警告，可以处10万元以下的罚款；情节严重或者逾期未改正的，由国务院专利行政部门责令停止承接新的专利代理业务6个月至12个月，直至吊销专利代理机构执业许可证：（一）合伙人、股东或者法定代表人等事项发生变化未办理变更手续；</w:t>
            </w:r>
          </w:p>
        </w:tc>
      </w:tr>
      <w:tr w14:paraId="3698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307" w:type="pct"/>
            <w:noWrap w:val="0"/>
            <w:vAlign w:val="center"/>
          </w:tcPr>
          <w:p w14:paraId="71FB04C5">
            <w:pPr>
              <w:widowControl/>
              <w:spacing w:line="280" w:lineRule="exact"/>
              <w:jc w:val="center"/>
              <w:rPr>
                <w:rFonts w:hint="eastAsia" w:ascii="Times New Roman" w:hAnsi="Times New Roman" w:eastAsia="仿宋" w:cs="仿宋"/>
                <w:color w:val="auto"/>
                <w:sz w:val="21"/>
                <w:szCs w:val="21"/>
                <w:highlight w:val="none"/>
                <w:lang w:val="en-US" w:eastAsia="zh-CN"/>
              </w:rPr>
            </w:pPr>
            <w:r>
              <w:rPr>
                <w:rFonts w:hint="eastAsia" w:ascii="Times New Roman" w:hAnsi="Times New Roman" w:eastAsia="仿宋" w:cs="仿宋"/>
                <w:color w:val="auto"/>
                <w:sz w:val="21"/>
                <w:szCs w:val="21"/>
                <w:highlight w:val="none"/>
                <w:lang w:val="en-US" w:eastAsia="zh-CN" w:bidi="ar-SA"/>
              </w:rPr>
              <w:t>20</w:t>
            </w:r>
          </w:p>
        </w:tc>
        <w:tc>
          <w:tcPr>
            <w:tcW w:w="901" w:type="pct"/>
            <w:noWrap w:val="0"/>
            <w:vAlign w:val="center"/>
          </w:tcPr>
          <w:p w14:paraId="1F0FCB83">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rPr>
            </w:pPr>
            <w:r>
              <w:rPr>
                <w:rFonts w:hint="eastAsia" w:ascii="Times New Roman" w:hAnsi="Times New Roman" w:eastAsia="仿宋_GB2312" w:cs="仿宋_GB2312"/>
                <w:color w:val="auto"/>
                <w:sz w:val="21"/>
                <w:szCs w:val="21"/>
                <w:highlight w:val="none"/>
              </w:rPr>
              <w:t>专利代理师未依照</w:t>
            </w:r>
            <w:r>
              <w:rPr>
                <w:rFonts w:hint="eastAsia" w:ascii="Times New Roman" w:hAnsi="Times New Roman" w:eastAsia="仿宋_GB2312" w:cs="仿宋_GB2312"/>
                <w:color w:val="auto"/>
                <w:sz w:val="21"/>
                <w:szCs w:val="21"/>
                <w:highlight w:val="none"/>
                <w:lang w:eastAsia="zh-CN"/>
              </w:rPr>
              <w:t>《专利代理条例》的</w:t>
            </w:r>
            <w:r>
              <w:rPr>
                <w:rFonts w:hint="eastAsia" w:ascii="Times New Roman" w:hAnsi="Times New Roman" w:eastAsia="仿宋_GB2312" w:cs="仿宋_GB2312"/>
                <w:color w:val="auto"/>
                <w:sz w:val="21"/>
                <w:szCs w:val="21"/>
                <w:highlight w:val="none"/>
              </w:rPr>
              <w:t>规定进行备案的</w:t>
            </w:r>
          </w:p>
        </w:tc>
        <w:tc>
          <w:tcPr>
            <w:tcW w:w="790" w:type="pct"/>
            <w:noWrap w:val="0"/>
            <w:vAlign w:val="center"/>
          </w:tcPr>
          <w:p w14:paraId="2A5F819D">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5A607BF6">
            <w:pPr>
              <w:keepNext w:val="0"/>
              <w:keepLines w:val="0"/>
              <w:pageBreakBefore w:val="0"/>
              <w:widowControl/>
              <w:spacing w:line="280" w:lineRule="exact"/>
              <w:rPr>
                <w:rStyle w:val="185"/>
                <w:rFonts w:hint="eastAsia" w:ascii="Times New Roman" w:hAnsi="Times New Roman" w:eastAsia="仿宋_GB2312" w:cs="仿宋_GB2312"/>
                <w:strike/>
                <w:color w:val="auto"/>
                <w:sz w:val="21"/>
                <w:szCs w:val="21"/>
                <w:highlight w:val="none"/>
              </w:rPr>
            </w:pPr>
            <w:r>
              <w:rPr>
                <w:rStyle w:val="186"/>
                <w:rFonts w:hint="eastAsia" w:ascii="Times New Roman" w:hAnsi="Times New Roman" w:eastAsia="仿宋_GB2312" w:cs="仿宋_GB2312"/>
                <w:color w:val="auto"/>
                <w:sz w:val="21"/>
                <w:szCs w:val="21"/>
                <w:highlight w:val="none"/>
              </w:rPr>
              <w:t>《专利代理条例》</w:t>
            </w:r>
            <w:r>
              <w:rPr>
                <w:rStyle w:val="187"/>
                <w:rFonts w:hint="eastAsia" w:ascii="Times New Roman" w:hAnsi="Times New Roman" w:eastAsia="仿宋_GB2312" w:cs="仿宋_GB2312"/>
                <w:color w:val="auto"/>
                <w:sz w:val="21"/>
                <w:szCs w:val="21"/>
                <w:highlight w:val="none"/>
              </w:rPr>
              <w:t>第二十六条第一款第一项  专利代理师有下列行为之一的，由省、自治区、直辖市人民政府管理专利工作的部门责令限期改正，予以警告，可以处5万元以下的罚款；情节严重或者逾期未改正的，由国务院专利行政部门责令停止承办新的专利代理业务6个月至12个月，直至吊销专利代理师资格证：（一）未依照本条例规定进行备案；</w:t>
            </w:r>
          </w:p>
        </w:tc>
      </w:tr>
      <w:tr w14:paraId="116D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0" w:hRule="atLeast"/>
          <w:jc w:val="center"/>
        </w:trPr>
        <w:tc>
          <w:tcPr>
            <w:tcW w:w="307" w:type="pct"/>
            <w:noWrap w:val="0"/>
            <w:vAlign w:val="center"/>
          </w:tcPr>
          <w:p w14:paraId="4BAA5C6A">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21</w:t>
            </w:r>
          </w:p>
        </w:tc>
        <w:tc>
          <w:tcPr>
            <w:tcW w:w="901" w:type="pct"/>
            <w:noWrap w:val="0"/>
            <w:vAlign w:val="center"/>
          </w:tcPr>
          <w:p w14:paraId="5F076E93">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rPr>
            </w:pPr>
            <w:r>
              <w:rPr>
                <w:rFonts w:hint="eastAsia" w:ascii="Times New Roman" w:hAnsi="Times New Roman" w:eastAsia="仿宋_GB2312" w:cs="仿宋_GB2312"/>
                <w:color w:val="auto"/>
                <w:sz w:val="21"/>
                <w:szCs w:val="21"/>
                <w:highlight w:val="none"/>
                <w:lang w:val="en-US" w:eastAsia="zh-CN"/>
              </w:rPr>
              <w:t>销售侵犯注册商标专用权商品的</w:t>
            </w:r>
          </w:p>
        </w:tc>
        <w:tc>
          <w:tcPr>
            <w:tcW w:w="790" w:type="pct"/>
            <w:noWrap w:val="0"/>
            <w:vAlign w:val="center"/>
          </w:tcPr>
          <w:p w14:paraId="7A595903">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bidi="ar-SA"/>
              </w:rPr>
            </w:pPr>
            <w:r>
              <w:rPr>
                <w:rStyle w:val="185"/>
                <w:rFonts w:hint="eastAsia" w:ascii="Times New Roman" w:hAnsi="Times New Roman" w:eastAsia="仿宋_GB2312" w:cs="仿宋_GB2312"/>
                <w:b w:val="0"/>
                <w:bCs w:val="0"/>
                <w:color w:val="auto"/>
                <w:sz w:val="21"/>
                <w:szCs w:val="21"/>
                <w:highlight w:val="none"/>
                <w:lang w:eastAsia="zh-CN"/>
              </w:rPr>
              <w:t>有证据足以证明</w:t>
            </w:r>
            <w:r>
              <w:rPr>
                <w:rStyle w:val="185"/>
                <w:rFonts w:hint="eastAsia" w:ascii="Times New Roman" w:hAnsi="Times New Roman" w:eastAsia="仿宋_GB2312" w:cs="仿宋_GB2312"/>
                <w:b w:val="0"/>
                <w:bCs w:val="0"/>
                <w:color w:val="auto"/>
                <w:sz w:val="21"/>
                <w:szCs w:val="21"/>
                <w:highlight w:val="none"/>
                <w:lang w:val="en-US" w:eastAsia="zh-CN"/>
              </w:rPr>
              <w:t>当事人</w:t>
            </w:r>
            <w:r>
              <w:rPr>
                <w:rStyle w:val="185"/>
                <w:rFonts w:hint="eastAsia" w:ascii="Times New Roman" w:hAnsi="Times New Roman" w:eastAsia="仿宋_GB2312" w:cs="仿宋_GB2312"/>
                <w:b w:val="0"/>
                <w:bCs w:val="0"/>
                <w:color w:val="auto"/>
                <w:sz w:val="21"/>
                <w:szCs w:val="21"/>
                <w:highlight w:val="none"/>
                <w:lang w:eastAsia="zh-CN"/>
              </w:rPr>
              <w:t>无主观过错，不知道是</w:t>
            </w:r>
            <w:r>
              <w:rPr>
                <w:rStyle w:val="185"/>
                <w:rFonts w:hint="eastAsia" w:ascii="Times New Roman" w:hAnsi="Times New Roman" w:eastAsia="仿宋_GB2312" w:cs="仿宋_GB2312"/>
                <w:b w:val="0"/>
                <w:bCs w:val="0"/>
                <w:color w:val="auto"/>
                <w:sz w:val="21"/>
                <w:szCs w:val="21"/>
                <w:highlight w:val="none"/>
                <w:lang w:val="en-US" w:eastAsia="zh-CN"/>
              </w:rPr>
              <w:t>侵权商品</w:t>
            </w:r>
            <w:r>
              <w:rPr>
                <w:rStyle w:val="185"/>
                <w:rFonts w:hint="eastAsia" w:ascii="Times New Roman" w:hAnsi="Times New Roman" w:eastAsia="仿宋_GB2312" w:cs="仿宋_GB2312"/>
                <w:b w:val="0"/>
                <w:bCs w:val="0"/>
                <w:color w:val="auto"/>
                <w:sz w:val="21"/>
                <w:szCs w:val="21"/>
                <w:highlight w:val="none"/>
                <w:lang w:eastAsia="zh-CN"/>
              </w:rPr>
              <w:t>，并且能够提供该</w:t>
            </w:r>
            <w:r>
              <w:rPr>
                <w:rStyle w:val="185"/>
                <w:rFonts w:hint="eastAsia" w:ascii="Times New Roman" w:hAnsi="Times New Roman" w:eastAsia="仿宋_GB2312" w:cs="仿宋_GB2312"/>
                <w:b w:val="0"/>
                <w:bCs w:val="0"/>
                <w:color w:val="auto"/>
                <w:sz w:val="21"/>
                <w:szCs w:val="21"/>
                <w:highlight w:val="none"/>
                <w:lang w:val="en-US" w:eastAsia="zh-CN"/>
              </w:rPr>
              <w:t>侵权商品</w:t>
            </w:r>
            <w:r>
              <w:rPr>
                <w:rStyle w:val="185"/>
                <w:rFonts w:hint="eastAsia" w:ascii="Times New Roman" w:hAnsi="Times New Roman" w:eastAsia="仿宋_GB2312" w:cs="仿宋_GB2312"/>
                <w:b w:val="0"/>
                <w:bCs w:val="0"/>
                <w:color w:val="auto"/>
                <w:sz w:val="21"/>
                <w:szCs w:val="21"/>
                <w:highlight w:val="none"/>
                <w:lang w:eastAsia="zh-CN"/>
              </w:rPr>
              <w:t>合法来源</w:t>
            </w:r>
            <w:r>
              <w:rPr>
                <w:rStyle w:val="185"/>
                <w:rFonts w:hint="eastAsia" w:ascii="Times New Roman" w:hAnsi="Times New Roman" w:eastAsia="仿宋_GB2312" w:cs="仿宋_GB2312"/>
                <w:b w:val="0"/>
                <w:bCs w:val="0"/>
                <w:color w:val="auto"/>
                <w:sz w:val="21"/>
                <w:szCs w:val="21"/>
                <w:highlight w:val="none"/>
                <w:lang w:val="en-US" w:eastAsia="zh-CN"/>
              </w:rPr>
              <w:t>的，不予罚款</w:t>
            </w:r>
          </w:p>
        </w:tc>
        <w:tc>
          <w:tcPr>
            <w:tcW w:w="3000" w:type="pct"/>
            <w:noWrap w:val="0"/>
            <w:vAlign w:val="center"/>
          </w:tcPr>
          <w:p w14:paraId="458EF29B">
            <w:pPr>
              <w:keepNext w:val="0"/>
              <w:keepLines w:val="0"/>
              <w:pageBreakBefore w:val="0"/>
              <w:widowControl/>
              <w:spacing w:line="280" w:lineRule="exact"/>
              <w:rPr>
                <w:rStyle w:val="184"/>
                <w:rFonts w:hint="eastAsia" w:ascii="Times New Roman" w:hAnsi="Times New Roman" w:eastAsia="仿宋_GB2312" w:cs="仿宋_GB2312"/>
                <w:b w:val="0"/>
                <w:bCs w:val="0"/>
                <w:color w:val="auto"/>
                <w:sz w:val="21"/>
                <w:szCs w:val="21"/>
                <w:highlight w:val="none"/>
                <w:lang w:eastAsia="zh-CN"/>
              </w:rPr>
            </w:pPr>
            <w:r>
              <w:rPr>
                <w:rStyle w:val="184"/>
                <w:rFonts w:hint="eastAsia" w:ascii="Times New Roman" w:hAnsi="Times New Roman" w:eastAsia="仿宋_GB2312" w:cs="仿宋_GB2312"/>
                <w:color w:val="auto"/>
                <w:sz w:val="21"/>
                <w:szCs w:val="21"/>
                <w:highlight w:val="none"/>
                <w:lang w:eastAsia="zh-CN"/>
              </w:rPr>
              <w:t>《</w:t>
            </w:r>
            <w:r>
              <w:rPr>
                <w:rStyle w:val="184"/>
                <w:rFonts w:hint="eastAsia" w:ascii="Times New Roman" w:hAnsi="Times New Roman" w:eastAsia="仿宋_GB2312" w:cs="仿宋_GB2312"/>
                <w:color w:val="auto"/>
                <w:sz w:val="21"/>
                <w:szCs w:val="21"/>
                <w:highlight w:val="none"/>
                <w:lang w:val="en-US" w:eastAsia="zh-CN"/>
              </w:rPr>
              <w:t>中华人民共和国商标法</w:t>
            </w:r>
            <w:r>
              <w:rPr>
                <w:rStyle w:val="184"/>
                <w:rFonts w:hint="eastAsia" w:ascii="Times New Roman" w:hAnsi="Times New Roman" w:eastAsia="仿宋_GB2312" w:cs="仿宋_GB2312"/>
                <w:color w:val="auto"/>
                <w:sz w:val="21"/>
                <w:szCs w:val="21"/>
                <w:highlight w:val="none"/>
                <w:lang w:eastAsia="zh-CN"/>
              </w:rPr>
              <w:t>》</w:t>
            </w:r>
            <w:r>
              <w:rPr>
                <w:rStyle w:val="184"/>
                <w:rFonts w:hint="eastAsia" w:ascii="Times New Roman" w:hAnsi="Times New Roman" w:eastAsia="仿宋_GB2312" w:cs="仿宋_GB2312"/>
                <w:b w:val="0"/>
                <w:bCs w:val="0"/>
                <w:color w:val="auto"/>
                <w:sz w:val="21"/>
                <w:szCs w:val="21"/>
                <w:highlight w:val="none"/>
                <w:lang w:eastAsia="zh-CN"/>
              </w:rPr>
              <w:t>第六十条</w:t>
            </w:r>
            <w:r>
              <w:rPr>
                <w:rStyle w:val="184"/>
                <w:rFonts w:hint="eastAsia" w:ascii="Times New Roman" w:hAnsi="Times New Roman"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lang w:eastAsia="zh-CN"/>
              </w:rPr>
              <w:t>有本法第五十七条所列侵犯注册商标专用权行为之一，引起纠纷的，由当事人协商解决；不愿协商或者协商不成的，商标注册人或者利害关系人可以向人民法院起诉，也可以请求工商行政管理部门处理。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14:paraId="3DBAECA8">
            <w:pPr>
              <w:keepNext w:val="0"/>
              <w:keepLines w:val="0"/>
              <w:pageBreakBefore w:val="0"/>
              <w:widowControl/>
              <w:spacing w:line="280" w:lineRule="exact"/>
              <w:rPr>
                <w:rStyle w:val="184"/>
                <w:rFonts w:hint="eastAsia" w:ascii="Times New Roman" w:hAnsi="Times New Roman" w:eastAsia="仿宋_GB2312" w:cs="仿宋_GB2312"/>
                <w:b w:val="0"/>
                <w:bCs w:val="0"/>
                <w:color w:val="auto"/>
                <w:sz w:val="21"/>
                <w:szCs w:val="21"/>
                <w:highlight w:val="none"/>
                <w:lang w:eastAsia="zh-CN"/>
              </w:rPr>
            </w:pPr>
            <w:r>
              <w:rPr>
                <w:rStyle w:val="184"/>
                <w:rFonts w:hint="eastAsia" w:ascii="Times New Roman" w:hAnsi="Times New Roman" w:eastAsia="仿宋_GB2312" w:cs="仿宋_GB2312"/>
                <w:b w:val="0"/>
                <w:bCs w:val="0"/>
                <w:color w:val="auto"/>
                <w:sz w:val="21"/>
                <w:szCs w:val="21"/>
                <w:highlight w:val="none"/>
                <w:lang w:eastAsia="zh-CN"/>
              </w:rPr>
              <w:t>第五十七条</w:t>
            </w:r>
            <w:r>
              <w:rPr>
                <w:rStyle w:val="184"/>
                <w:rFonts w:hint="eastAsia" w:ascii="Times New Roman" w:hAnsi="Times New Roman" w:eastAsia="仿宋_GB2312" w:cs="仿宋_GB2312"/>
                <w:b w:val="0"/>
                <w:bCs w:val="0"/>
                <w:color w:val="auto"/>
                <w:sz w:val="21"/>
                <w:szCs w:val="21"/>
                <w:highlight w:val="none"/>
                <w:lang w:val="en-US" w:eastAsia="zh-CN"/>
              </w:rPr>
              <w:t>第（三）项</w:t>
            </w:r>
            <w:r>
              <w:rPr>
                <w:rStyle w:val="184"/>
                <w:rFonts w:hint="eastAsia"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lang w:eastAsia="zh-CN"/>
              </w:rPr>
              <w:t>有下列行为之一的，均属侵犯注册商标专用权：（三）销售侵犯注册商标专用权的商品的；</w:t>
            </w:r>
          </w:p>
        </w:tc>
      </w:tr>
      <w:tr w14:paraId="1566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307" w:type="pct"/>
            <w:noWrap w:val="0"/>
            <w:vAlign w:val="center"/>
          </w:tcPr>
          <w:p w14:paraId="4CC538A0">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rPr>
              <w:t>22</w:t>
            </w:r>
          </w:p>
        </w:tc>
        <w:tc>
          <w:tcPr>
            <w:tcW w:w="901" w:type="pct"/>
            <w:noWrap w:val="0"/>
            <w:vAlign w:val="center"/>
          </w:tcPr>
          <w:p w14:paraId="0D2BC005">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商标印制档案及商标标识出入库台账未按要求存档备查的</w:t>
            </w:r>
          </w:p>
        </w:tc>
        <w:tc>
          <w:tcPr>
            <w:tcW w:w="790" w:type="pct"/>
            <w:noWrap w:val="0"/>
            <w:vAlign w:val="center"/>
          </w:tcPr>
          <w:p w14:paraId="406D511E">
            <w:pPr>
              <w:keepNext w:val="0"/>
              <w:keepLines w:val="0"/>
              <w:pageBreakBefore w:val="0"/>
              <w:widowControl/>
              <w:spacing w:line="280" w:lineRule="exac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2884E564">
            <w:pPr>
              <w:keepNext w:val="0"/>
              <w:keepLines w:val="0"/>
              <w:pageBreakBefore w:val="0"/>
              <w:widowControl/>
              <w:spacing w:line="280" w:lineRule="exac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《商标印制管理办法》</w:t>
            </w:r>
            <w:r>
              <w:rPr>
                <w:rStyle w:val="185"/>
                <w:rFonts w:hint="eastAsia" w:ascii="Times New Roman" w:hAnsi="Times New Roman" w:eastAsia="仿宋_GB2312" w:cs="仿宋_GB2312"/>
                <w:color w:val="auto"/>
                <w:sz w:val="21"/>
                <w:szCs w:val="21"/>
                <w:highlight w:val="none"/>
              </w:rPr>
              <w:t>第十条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商标印制档案及商标标识出入库台帐应当存档备查，存查期为两年。</w:t>
            </w:r>
          </w:p>
          <w:p w14:paraId="46FD070F">
            <w:pPr>
              <w:keepNext w:val="0"/>
              <w:keepLines w:val="0"/>
              <w:pageBreakBefore w:val="0"/>
              <w:widowControl/>
              <w:spacing w:line="280" w:lineRule="exact"/>
              <w:rPr>
                <w:rFonts w:hint="eastAsia" w:ascii="Times New Roman" w:hAnsi="Times New Roman" w:eastAsia="仿宋_GB2312" w:cs="仿宋_GB2312"/>
                <w:b/>
                <w:bCs/>
                <w:strike/>
                <w:color w:val="auto"/>
                <w:sz w:val="21"/>
                <w:szCs w:val="21"/>
                <w:highlight w:val="none"/>
                <w:lang w:val="en-US" w:eastAsia="zh-CN" w:bidi="ar-SA"/>
              </w:rPr>
            </w:pPr>
            <w:r>
              <w:rPr>
                <w:rStyle w:val="185"/>
                <w:rFonts w:hint="eastAsia" w:ascii="Times New Roman" w:hAnsi="Times New Roman" w:eastAsia="仿宋_GB2312" w:cs="仿宋_GB2312"/>
                <w:color w:val="auto"/>
                <w:sz w:val="21"/>
                <w:szCs w:val="21"/>
                <w:highlight w:val="none"/>
              </w:rPr>
              <w:t>第十一条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p>
        </w:tc>
      </w:tr>
      <w:tr w14:paraId="52FD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jc w:val="center"/>
        </w:trPr>
        <w:tc>
          <w:tcPr>
            <w:tcW w:w="307" w:type="pct"/>
            <w:noWrap w:val="0"/>
            <w:vAlign w:val="center"/>
          </w:tcPr>
          <w:p w14:paraId="3A76D704">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rPr>
              <w:t>23</w:t>
            </w:r>
          </w:p>
        </w:tc>
        <w:tc>
          <w:tcPr>
            <w:tcW w:w="901" w:type="pct"/>
            <w:noWrap w:val="0"/>
            <w:vAlign w:val="center"/>
          </w:tcPr>
          <w:p w14:paraId="0B44B6DC">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lang w:val="en-US" w:eastAsia="zh-CN"/>
              </w:rPr>
              <w:t>未经设立登记从事一般经营活动的</w:t>
            </w:r>
          </w:p>
        </w:tc>
        <w:tc>
          <w:tcPr>
            <w:tcW w:w="790" w:type="pct"/>
            <w:noWrap w:val="0"/>
            <w:vAlign w:val="center"/>
          </w:tcPr>
          <w:p w14:paraId="047F427E">
            <w:pPr>
              <w:keepNext w:val="0"/>
              <w:keepLines w:val="0"/>
              <w:pageBreakBefore w:val="0"/>
              <w:widowControl/>
              <w:spacing w:line="280" w:lineRule="exac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属于首次违法，开业时间短，未造成危害后果，在责令改正期限内及时改正的</w:t>
            </w:r>
          </w:p>
        </w:tc>
        <w:tc>
          <w:tcPr>
            <w:tcW w:w="3000" w:type="pct"/>
            <w:noWrap w:val="0"/>
            <w:vAlign w:val="center"/>
          </w:tcPr>
          <w:p w14:paraId="42DB5E4C">
            <w:pPr>
              <w:keepNext w:val="0"/>
              <w:keepLines w:val="0"/>
              <w:pageBreakBefore w:val="0"/>
              <w:widowControl/>
              <w:spacing w:line="300" w:lineRule="exac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bCs/>
                <w:color w:val="auto"/>
                <w:sz w:val="21"/>
                <w:szCs w:val="21"/>
                <w:highlight w:val="none"/>
                <w:lang w:val="en-US" w:eastAsia="zh-CN"/>
              </w:rPr>
              <w:t>《中华人民共和国市场主体登记管理条例》</w:t>
            </w:r>
            <w:r>
              <w:rPr>
                <w:rFonts w:hint="eastAsia" w:ascii="Times New Roman" w:hAnsi="Times New Roman" w:eastAsia="仿宋_GB2312" w:cs="仿宋_GB2312"/>
                <w:b w:val="0"/>
                <w:bCs w:val="0"/>
                <w:color w:val="auto"/>
                <w:sz w:val="21"/>
                <w:szCs w:val="21"/>
                <w:highlight w:val="none"/>
                <w:lang w:val="en-US" w:eastAsia="zh-CN"/>
              </w:rPr>
              <w:t>第四十三条　未经设立登记从事经营活动的，由登记机关责令改正，没收违法所得；拒不改正的，处1万元以上10万元以下的罚款；情节严重的，依法责令关闭停业，并处10万元以上50万元以下的罚款。</w:t>
            </w:r>
          </w:p>
          <w:p w14:paraId="4DB3EC10">
            <w:pPr>
              <w:keepNext w:val="0"/>
              <w:keepLines w:val="0"/>
              <w:pageBreakBefore w:val="0"/>
              <w:widowControl/>
              <w:spacing w:line="300" w:lineRule="exac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bCs/>
                <w:color w:val="auto"/>
                <w:sz w:val="21"/>
                <w:szCs w:val="21"/>
                <w:highlight w:val="none"/>
                <w:lang w:val="en-US" w:eastAsia="zh-CN"/>
              </w:rPr>
              <w:t>《中华人民共和国市场主体登记管理条例实施细则》</w:t>
            </w:r>
            <w:r>
              <w:rPr>
                <w:rFonts w:hint="eastAsia" w:ascii="Times New Roman" w:hAnsi="Times New Roman" w:eastAsia="仿宋_GB2312" w:cs="仿宋_GB2312"/>
                <w:b w:val="0"/>
                <w:bCs w:val="0"/>
                <w:color w:val="auto"/>
                <w:sz w:val="21"/>
                <w:szCs w:val="21"/>
                <w:highlight w:val="none"/>
                <w:lang w:val="en-US" w:eastAsia="zh-CN"/>
              </w:rPr>
              <w:t xml:space="preserve">第六十八条 </w:t>
            </w:r>
            <w:r>
              <w:rPr>
                <w:rFonts w:hint="eastAsia" w:eastAsia="仿宋_GB2312" w:cs="仿宋_GB2312"/>
                <w:b w:val="0"/>
                <w:bCs w:val="0"/>
                <w:color w:val="auto"/>
                <w:sz w:val="21"/>
                <w:szCs w:val="21"/>
                <w:highlight w:val="none"/>
                <w:lang w:val="en-US" w:eastAsia="zh-CN"/>
              </w:rPr>
              <w:t xml:space="preserve"> </w:t>
            </w:r>
            <w:r>
              <w:rPr>
                <w:rFonts w:hint="eastAsia" w:ascii="Times New Roman" w:hAnsi="Times New Roman" w:eastAsia="仿宋_GB2312" w:cs="仿宋_GB2312"/>
                <w:b w:val="0"/>
                <w:bCs w:val="0"/>
                <w:color w:val="auto"/>
                <w:sz w:val="21"/>
                <w:szCs w:val="21"/>
                <w:highlight w:val="none"/>
                <w:lang w:val="en-US" w:eastAsia="zh-CN"/>
              </w:rPr>
              <w:t>未经设立登记从事一般经营活动的，由登记机关责令改正，没收违法所得；拒不改正的，处1万元以上10万元以下的罚款；情节严重的，依法责令关闭停业，并处10万元以上50万元以下的罚款。</w:t>
            </w:r>
          </w:p>
          <w:p w14:paraId="7C2B906B">
            <w:pPr>
              <w:keepNext w:val="0"/>
              <w:keepLines w:val="0"/>
              <w:pageBreakBefore w:val="0"/>
              <w:widowControl/>
              <w:spacing w:line="300" w:lineRule="exac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bCs/>
                <w:color w:val="auto"/>
                <w:sz w:val="21"/>
                <w:szCs w:val="21"/>
                <w:highlight w:val="none"/>
                <w:lang w:val="en-US" w:eastAsia="zh-CN"/>
              </w:rPr>
              <w:t>《中华人民共和国合伙企业法</w:t>
            </w:r>
            <w:r>
              <w:rPr>
                <w:rFonts w:hint="eastAsia" w:ascii="Times New Roman" w:hAnsi="Times New Roman" w:eastAsia="仿宋_GB2312" w:cs="仿宋_GB2312"/>
                <w:b w:val="0"/>
                <w:bCs w:val="0"/>
                <w:color w:val="auto"/>
                <w:sz w:val="21"/>
                <w:szCs w:val="21"/>
                <w:highlight w:val="none"/>
                <w:lang w:val="en-US" w:eastAsia="zh-CN"/>
              </w:rPr>
              <w:t xml:space="preserve">》第九十五条 </w:t>
            </w:r>
            <w:r>
              <w:rPr>
                <w:rFonts w:hint="eastAsia" w:eastAsia="仿宋_GB2312" w:cs="仿宋_GB2312"/>
                <w:b w:val="0"/>
                <w:bCs w:val="0"/>
                <w:color w:val="auto"/>
                <w:sz w:val="21"/>
                <w:szCs w:val="21"/>
                <w:highlight w:val="none"/>
                <w:lang w:val="en-US" w:eastAsia="zh-CN"/>
              </w:rPr>
              <w:t xml:space="preserve"> </w:t>
            </w:r>
            <w:r>
              <w:rPr>
                <w:rFonts w:hint="eastAsia" w:ascii="Times New Roman" w:hAnsi="Times New Roman" w:eastAsia="仿宋_GB2312" w:cs="仿宋_GB2312"/>
                <w:b w:val="0"/>
                <w:bCs w:val="0"/>
                <w:color w:val="auto"/>
                <w:sz w:val="21"/>
                <w:szCs w:val="21"/>
                <w:highlight w:val="none"/>
                <w:lang w:val="en-US" w:eastAsia="zh-CN"/>
              </w:rPr>
              <w:t>违反本法规定，未领取营业执照，而以合伙企业或者合伙企业分支机构名义从事合伙业务的，由企业登记机关责令停止，处以五千元以上五万元以下的罚款。</w:t>
            </w:r>
          </w:p>
        </w:tc>
      </w:tr>
      <w:tr w14:paraId="3806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8" w:hRule="atLeast"/>
          <w:jc w:val="center"/>
        </w:trPr>
        <w:tc>
          <w:tcPr>
            <w:tcW w:w="307" w:type="pct"/>
            <w:noWrap w:val="0"/>
            <w:vAlign w:val="center"/>
          </w:tcPr>
          <w:p w14:paraId="471EB0F7">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rPr>
              <w:t>24</w:t>
            </w:r>
          </w:p>
        </w:tc>
        <w:tc>
          <w:tcPr>
            <w:tcW w:w="901" w:type="pct"/>
            <w:noWrap w:val="0"/>
            <w:vAlign w:val="center"/>
          </w:tcPr>
          <w:p w14:paraId="49BA187D">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合伙企业未在名称中标明“普通合伙”、“特殊普通合伙”或者“有限合伙”字样的</w:t>
            </w:r>
          </w:p>
        </w:tc>
        <w:tc>
          <w:tcPr>
            <w:tcW w:w="790" w:type="pct"/>
            <w:noWrap w:val="0"/>
            <w:vAlign w:val="center"/>
          </w:tcPr>
          <w:p w14:paraId="0F8E988F">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4F51CC3B">
            <w:pPr>
              <w:keepNext w:val="0"/>
              <w:keepLines w:val="0"/>
              <w:pageBreakBefore w:val="0"/>
              <w:widowControl/>
              <w:spacing w:line="300" w:lineRule="exact"/>
              <w:rPr>
                <w:rFonts w:hint="eastAsia" w:ascii="Times New Roman" w:hAnsi="Times New Roman" w:eastAsia="仿宋_GB2312" w:cs="仿宋_GB2312"/>
                <w:b/>
                <w:bCs/>
                <w:color w:val="auto"/>
                <w:sz w:val="21"/>
                <w:szCs w:val="21"/>
                <w:highlight w:val="none"/>
                <w:lang w:val="en-US" w:eastAsia="zh-CN" w:bidi="ar-SA"/>
              </w:rPr>
            </w:pPr>
            <w:r>
              <w:rPr>
                <w:rStyle w:val="184"/>
                <w:rFonts w:hint="eastAsia" w:ascii="Times New Roman" w:hAnsi="Times New Roman" w:eastAsia="仿宋_GB2312" w:cs="仿宋_GB2312"/>
                <w:color w:val="auto"/>
                <w:sz w:val="21"/>
                <w:szCs w:val="21"/>
                <w:highlight w:val="none"/>
              </w:rPr>
              <w:t>《中华人民共和国合伙企业法》</w:t>
            </w:r>
            <w:r>
              <w:rPr>
                <w:rStyle w:val="185"/>
                <w:rFonts w:hint="eastAsia" w:ascii="Times New Roman" w:hAnsi="Times New Roman" w:eastAsia="仿宋_GB2312" w:cs="仿宋_GB2312"/>
                <w:color w:val="auto"/>
                <w:sz w:val="21"/>
                <w:szCs w:val="21"/>
                <w:highlight w:val="none"/>
              </w:rPr>
              <w:t xml:space="preserve">第十五条：企业名称中应当标明“普通合伙”字样。第五十六条：特殊的普通合伙企业名称中应当标明“特殊普通合伙”字样。第六十二条 </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 xml:space="preserve">有限合伙企业名称中应当标明“有限合伙”字样。第九十四条 </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违反本法规定，合伙企业未在其名称中标明“普通合伙”“特殊普通合伙”或者“有限合伙”字样的，由企业登记机关责令限期改正，处以二千元以上一万元以下罚款。</w:t>
            </w:r>
          </w:p>
        </w:tc>
      </w:tr>
      <w:tr w14:paraId="0416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6" w:hRule="atLeast"/>
          <w:jc w:val="center"/>
        </w:trPr>
        <w:tc>
          <w:tcPr>
            <w:tcW w:w="307" w:type="pct"/>
            <w:noWrap w:val="0"/>
            <w:vAlign w:val="center"/>
          </w:tcPr>
          <w:p w14:paraId="056FC5CD">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25</w:t>
            </w:r>
          </w:p>
        </w:tc>
        <w:tc>
          <w:tcPr>
            <w:tcW w:w="901" w:type="pct"/>
            <w:noWrap w:val="0"/>
            <w:vAlign w:val="center"/>
          </w:tcPr>
          <w:p w14:paraId="20C15AFD">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lang w:val="en-US" w:eastAsia="zh-CN" w:bidi="ar-SA"/>
              </w:rPr>
            </w:pPr>
            <w:r>
              <w:rPr>
                <w:rFonts w:hint="eastAsia" w:ascii="Times New Roman" w:hAnsi="Times New Roman" w:eastAsia="仿宋_GB2312" w:cs="仿宋_GB2312"/>
                <w:b w:val="0"/>
                <w:bCs w:val="0"/>
                <w:color w:val="auto"/>
                <w:sz w:val="21"/>
                <w:szCs w:val="21"/>
                <w:highlight w:val="none"/>
                <w:lang w:val="en-US" w:eastAsia="zh-CN"/>
              </w:rPr>
              <w:t>未按规定时限公示或者报送年度报告的</w:t>
            </w:r>
          </w:p>
        </w:tc>
        <w:tc>
          <w:tcPr>
            <w:tcW w:w="790" w:type="pct"/>
            <w:noWrap w:val="0"/>
            <w:vAlign w:val="center"/>
          </w:tcPr>
          <w:p w14:paraId="13728341">
            <w:pPr>
              <w:keepNext w:val="0"/>
              <w:keepLines w:val="0"/>
              <w:pageBreakBefore w:val="0"/>
              <w:widowControl/>
              <w:spacing w:line="280" w:lineRule="exact"/>
              <w:rPr>
                <w:rFonts w:hint="eastAsia" w:ascii="Times New Roman" w:hAnsi="Times New Roman" w:eastAsia="仿宋_GB2312" w:cs="仿宋_GB2312"/>
                <w:b w:val="0"/>
                <w:bCs w:val="0"/>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及时改正的</w:t>
            </w:r>
          </w:p>
        </w:tc>
        <w:tc>
          <w:tcPr>
            <w:tcW w:w="3000" w:type="pct"/>
            <w:noWrap w:val="0"/>
            <w:vAlign w:val="center"/>
          </w:tcPr>
          <w:p w14:paraId="4C54914C">
            <w:pPr>
              <w:keepNext w:val="0"/>
              <w:keepLines w:val="0"/>
              <w:pageBreakBefore w:val="0"/>
              <w:widowControl/>
              <w:spacing w:line="300" w:lineRule="exact"/>
              <w:ind w:left="210" w:hanging="211"/>
              <w:jc w:val="both"/>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bCs/>
                <w:color w:val="auto"/>
                <w:sz w:val="21"/>
                <w:szCs w:val="21"/>
                <w:highlight w:val="none"/>
                <w:lang w:val="en-US" w:eastAsia="zh-CN"/>
              </w:rPr>
              <w:t>《中华人民共和国市场主体登记管理条例》</w:t>
            </w:r>
            <w:r>
              <w:rPr>
                <w:rFonts w:hint="eastAsia" w:ascii="Times New Roman" w:hAnsi="Times New Roman" w:eastAsia="仿宋_GB2312" w:cs="仿宋_GB2312"/>
                <w:b w:val="0"/>
                <w:bCs w:val="0"/>
                <w:color w:val="auto"/>
                <w:sz w:val="21"/>
                <w:szCs w:val="21"/>
                <w:highlight w:val="none"/>
                <w:lang w:val="en-US" w:eastAsia="zh-CN"/>
              </w:rPr>
              <w:t>第三十五条</w:t>
            </w:r>
            <w:r>
              <w:rPr>
                <w:rFonts w:hint="eastAsia" w:eastAsia="仿宋_GB2312" w:cs="仿宋_GB2312"/>
                <w:b w:val="0"/>
                <w:bCs w:val="0"/>
                <w:color w:val="auto"/>
                <w:sz w:val="21"/>
                <w:szCs w:val="21"/>
                <w:highlight w:val="none"/>
                <w:lang w:val="en-US" w:eastAsia="zh-CN"/>
              </w:rPr>
              <w:t xml:space="preserve">   </w:t>
            </w:r>
            <w:r>
              <w:rPr>
                <w:rFonts w:hint="eastAsia" w:ascii="Times New Roman" w:hAnsi="Times New Roman" w:eastAsia="仿宋_GB2312" w:cs="仿宋_GB2312"/>
                <w:b w:val="0"/>
                <w:bCs w:val="0"/>
                <w:color w:val="auto"/>
                <w:sz w:val="21"/>
                <w:szCs w:val="21"/>
                <w:highlight w:val="none"/>
                <w:lang w:val="en-US" w:eastAsia="zh-CN"/>
              </w:rPr>
              <w:t>市场主体应当按照国家有关规定公示年度报告和登记相关信息。</w:t>
            </w:r>
          </w:p>
          <w:p w14:paraId="04202A36">
            <w:pPr>
              <w:keepNext w:val="0"/>
              <w:keepLines w:val="0"/>
              <w:pageBreakBefore w:val="0"/>
              <w:widowControl/>
              <w:spacing w:line="300" w:lineRule="exact"/>
              <w:jc w:val="both"/>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bCs/>
                <w:color w:val="auto"/>
                <w:sz w:val="21"/>
                <w:szCs w:val="21"/>
                <w:highlight w:val="none"/>
                <w:lang w:val="en-US" w:eastAsia="zh-CN"/>
              </w:rPr>
              <w:t>《中华人民共和国市场主体登记管理条例实施细则》</w:t>
            </w:r>
            <w:r>
              <w:rPr>
                <w:rFonts w:hint="eastAsia" w:ascii="Times New Roman" w:hAnsi="Times New Roman" w:eastAsia="仿宋_GB2312" w:cs="仿宋_GB2312"/>
                <w:b w:val="0"/>
                <w:bCs w:val="0"/>
                <w:color w:val="auto"/>
                <w:sz w:val="21"/>
                <w:szCs w:val="21"/>
                <w:highlight w:val="none"/>
                <w:lang w:val="en-US" w:eastAsia="zh-CN"/>
              </w:rPr>
              <w:t>第六十三条</w:t>
            </w:r>
            <w:r>
              <w:rPr>
                <w:rFonts w:hint="eastAsia" w:eastAsia="仿宋_GB2312" w:cs="仿宋_GB2312"/>
                <w:b w:val="0"/>
                <w:bCs w:val="0"/>
                <w:color w:val="auto"/>
                <w:sz w:val="21"/>
                <w:szCs w:val="21"/>
                <w:highlight w:val="none"/>
                <w:lang w:val="en-US" w:eastAsia="zh-CN"/>
              </w:rPr>
              <w:t xml:space="preserve">  </w:t>
            </w:r>
            <w:r>
              <w:rPr>
                <w:rFonts w:hint="eastAsia" w:ascii="Times New Roman" w:hAnsi="Times New Roman" w:eastAsia="仿宋_GB2312" w:cs="仿宋_GB2312"/>
                <w:b w:val="0"/>
                <w:bCs w:val="0"/>
                <w:color w:val="auto"/>
                <w:sz w:val="21"/>
                <w:szCs w:val="21"/>
                <w:highlight w:val="none"/>
                <w:lang w:val="en-US" w:eastAsia="zh-CN"/>
              </w:rPr>
              <w:t>市场主体应当于每年1月1日至6月30日，通过国家企业信用信息公示系统报送上一年度年度报告，并向社会公示。个体工商户可以通过纸质方式报送年度报告，并自主选择年度报告内容是否向社会公示。歇业的市场主体应当按时公示年度报告。</w:t>
            </w:r>
          </w:p>
          <w:p w14:paraId="626727DC">
            <w:pPr>
              <w:keepNext w:val="0"/>
              <w:keepLines w:val="0"/>
              <w:pageBreakBefore w:val="0"/>
              <w:widowControl/>
              <w:spacing w:line="300" w:lineRule="exact"/>
              <w:jc w:val="both"/>
              <w:rPr>
                <w:rFonts w:hint="eastAsia" w:ascii="Times New Roman" w:hAnsi="Times New Roman" w:eastAsia="仿宋_GB2312" w:cs="仿宋_GB2312"/>
                <w:b w:val="0"/>
                <w:bCs w:val="0"/>
                <w:color w:val="auto"/>
                <w:sz w:val="21"/>
                <w:szCs w:val="21"/>
                <w:highlight w:val="none"/>
                <w:lang w:val="en-US" w:eastAsia="zh-CN" w:bidi="ar-SA"/>
              </w:rPr>
            </w:pPr>
            <w:r>
              <w:rPr>
                <w:rFonts w:hint="eastAsia" w:ascii="Times New Roman" w:hAnsi="Times New Roman" w:eastAsia="仿宋_GB2312" w:cs="仿宋_GB2312"/>
                <w:b w:val="0"/>
                <w:bCs w:val="0"/>
                <w:color w:val="auto"/>
                <w:sz w:val="21"/>
                <w:szCs w:val="21"/>
                <w:highlight w:val="none"/>
                <w:lang w:val="en-US" w:eastAsia="zh-CN"/>
              </w:rPr>
              <w:t>第七十条</w:t>
            </w:r>
            <w:r>
              <w:rPr>
                <w:rFonts w:hint="eastAsia" w:eastAsia="仿宋_GB2312" w:cs="仿宋_GB2312"/>
                <w:b w:val="0"/>
                <w:bCs w:val="0"/>
                <w:color w:val="auto"/>
                <w:sz w:val="21"/>
                <w:szCs w:val="21"/>
                <w:highlight w:val="none"/>
                <w:lang w:val="en-US" w:eastAsia="zh-CN"/>
              </w:rPr>
              <w:t xml:space="preserve">  </w:t>
            </w:r>
            <w:r>
              <w:rPr>
                <w:rFonts w:hint="eastAsia" w:ascii="Times New Roman" w:hAnsi="Times New Roman" w:eastAsia="仿宋_GB2312" w:cs="仿宋_GB2312"/>
                <w:b w:val="0"/>
                <w:bCs w:val="0"/>
                <w:color w:val="auto"/>
                <w:sz w:val="21"/>
                <w:szCs w:val="21"/>
                <w:highlight w:val="none"/>
                <w:lang w:val="en-US" w:eastAsia="zh-CN"/>
              </w:rPr>
              <w:t>市场主体未按照法律、行政法规规定的期限公示或者报送年度报告的，由登记机关列入经营异常名录，可以处1万元以下的罚款。</w:t>
            </w:r>
          </w:p>
        </w:tc>
      </w:tr>
      <w:tr w14:paraId="6059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jc w:val="center"/>
        </w:trPr>
        <w:tc>
          <w:tcPr>
            <w:tcW w:w="307" w:type="pct"/>
            <w:noWrap w:val="0"/>
            <w:vAlign w:val="center"/>
          </w:tcPr>
          <w:p w14:paraId="08D94018">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26</w:t>
            </w:r>
          </w:p>
        </w:tc>
        <w:tc>
          <w:tcPr>
            <w:tcW w:w="901" w:type="pct"/>
            <w:noWrap w:val="0"/>
            <w:vAlign w:val="center"/>
          </w:tcPr>
          <w:p w14:paraId="075B8D28">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lang w:val="en-US" w:eastAsia="zh-CN" w:bidi="ar-SA"/>
              </w:rPr>
            </w:pPr>
            <w:r>
              <w:rPr>
                <w:rStyle w:val="185"/>
                <w:rFonts w:hint="eastAsia" w:ascii="Times New Roman" w:hAnsi="Times New Roman" w:eastAsia="仿宋_GB2312" w:cs="仿宋_GB2312"/>
                <w:b w:val="0"/>
                <w:bCs w:val="0"/>
                <w:color w:val="auto"/>
                <w:sz w:val="21"/>
                <w:szCs w:val="21"/>
                <w:highlight w:val="none"/>
              </w:rPr>
              <w:t>食品、食品添加剂生产者</w:t>
            </w:r>
            <w:r>
              <w:rPr>
                <w:rStyle w:val="185"/>
                <w:rFonts w:hint="eastAsia" w:ascii="Times New Roman" w:hAnsi="Times New Roman" w:eastAsia="仿宋_GB2312" w:cs="仿宋_GB2312"/>
                <w:b w:val="0"/>
                <w:bCs w:val="0"/>
                <w:color w:val="auto"/>
                <w:sz w:val="21"/>
                <w:szCs w:val="21"/>
                <w:highlight w:val="none"/>
                <w:lang w:eastAsia="zh-CN"/>
              </w:rPr>
              <w:t>未对</w:t>
            </w:r>
            <w:r>
              <w:rPr>
                <w:rStyle w:val="185"/>
                <w:rFonts w:hint="eastAsia" w:ascii="Times New Roman" w:hAnsi="Times New Roman" w:eastAsia="仿宋_GB2312" w:cs="仿宋_GB2312"/>
                <w:b w:val="0"/>
                <w:bCs w:val="0"/>
                <w:color w:val="auto"/>
                <w:sz w:val="21"/>
                <w:szCs w:val="21"/>
                <w:highlight w:val="none"/>
              </w:rPr>
              <w:t>采购的</w:t>
            </w:r>
            <w:r>
              <w:rPr>
                <w:rStyle w:val="185"/>
                <w:rFonts w:hint="eastAsia" w:ascii="Times New Roman" w:hAnsi="Times New Roman" w:eastAsia="仿宋_GB2312" w:cs="仿宋_GB2312"/>
                <w:b w:val="0"/>
                <w:bCs w:val="0"/>
                <w:color w:val="auto"/>
                <w:sz w:val="21"/>
                <w:szCs w:val="21"/>
                <w:highlight w:val="none"/>
                <w:lang w:eastAsia="zh-CN"/>
              </w:rPr>
              <w:t>无法提供合格证明的</w:t>
            </w:r>
            <w:r>
              <w:rPr>
                <w:rStyle w:val="185"/>
                <w:rFonts w:hint="eastAsia" w:ascii="Times New Roman" w:hAnsi="Times New Roman" w:eastAsia="仿宋_GB2312" w:cs="仿宋_GB2312"/>
                <w:b w:val="0"/>
                <w:bCs w:val="0"/>
                <w:color w:val="auto"/>
                <w:sz w:val="21"/>
                <w:szCs w:val="21"/>
                <w:highlight w:val="none"/>
              </w:rPr>
              <w:t>食品原料</w:t>
            </w:r>
            <w:r>
              <w:rPr>
                <w:rStyle w:val="185"/>
                <w:rFonts w:hint="eastAsia" w:ascii="Times New Roman" w:hAnsi="Times New Roman" w:eastAsia="仿宋_GB2312" w:cs="仿宋_GB2312"/>
                <w:b w:val="0"/>
                <w:bCs w:val="0"/>
                <w:color w:val="auto"/>
                <w:sz w:val="21"/>
                <w:szCs w:val="21"/>
                <w:highlight w:val="none"/>
                <w:lang w:eastAsia="zh-CN"/>
              </w:rPr>
              <w:t>进行检验的</w:t>
            </w:r>
          </w:p>
        </w:tc>
        <w:tc>
          <w:tcPr>
            <w:tcW w:w="790" w:type="pct"/>
            <w:noWrap w:val="0"/>
            <w:vAlign w:val="center"/>
          </w:tcPr>
          <w:p w14:paraId="58BF3E3C">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lang w:val="en-US" w:eastAsia="zh-CN" w:bidi="ar-SA"/>
              </w:rPr>
            </w:pPr>
            <w:r>
              <w:rPr>
                <w:rFonts w:hint="eastAsia" w:ascii="Times New Roman" w:hAnsi="Times New Roman" w:eastAsia="仿宋_GB2312" w:cs="仿宋_GB2312"/>
                <w:b w:val="0"/>
                <w:bCs w:val="0"/>
                <w:color w:val="auto"/>
                <w:sz w:val="21"/>
                <w:szCs w:val="21"/>
                <w:highlight w:val="none"/>
                <w:lang w:eastAsia="zh-CN"/>
              </w:rPr>
              <w:t>违法情节轻微，当事人所生产的食品、食品添加剂合格，</w:t>
            </w:r>
            <w:r>
              <w:rPr>
                <w:rFonts w:hint="eastAsia" w:ascii="Times New Roman" w:hAnsi="Times New Roman" w:eastAsia="仿宋_GB2312" w:cs="仿宋_GB2312"/>
                <w:b w:val="0"/>
                <w:bCs w:val="0"/>
                <w:color w:val="auto"/>
                <w:sz w:val="21"/>
                <w:szCs w:val="21"/>
                <w:highlight w:val="none"/>
              </w:rPr>
              <w:t>未发生食品安全事故</w:t>
            </w:r>
            <w:r>
              <w:rPr>
                <w:rFonts w:hint="eastAsia" w:ascii="Times New Roman" w:hAnsi="Times New Roman" w:eastAsia="仿宋_GB2312" w:cs="仿宋_GB2312"/>
                <w:b w:val="0"/>
                <w:bCs w:val="0"/>
                <w:color w:val="auto"/>
                <w:sz w:val="21"/>
                <w:szCs w:val="21"/>
                <w:highlight w:val="none"/>
                <w:lang w:eastAsia="zh-CN"/>
              </w:rPr>
              <w:t>等危害后果，主动改正或在责令改正期限内改正的</w:t>
            </w:r>
          </w:p>
        </w:tc>
        <w:tc>
          <w:tcPr>
            <w:tcW w:w="3000" w:type="pct"/>
            <w:noWrap w:val="0"/>
            <w:vAlign w:val="center"/>
          </w:tcPr>
          <w:p w14:paraId="7D2A5DB7">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bCs/>
                <w:color w:val="auto"/>
                <w:sz w:val="21"/>
                <w:szCs w:val="21"/>
                <w:highlight w:val="none"/>
              </w:rPr>
              <w:t>《</w:t>
            </w:r>
            <w:r>
              <w:rPr>
                <w:rStyle w:val="184"/>
                <w:rFonts w:hint="eastAsia" w:ascii="Times New Roman" w:hAnsi="Times New Roman" w:eastAsia="仿宋_GB2312" w:cs="仿宋_GB2312"/>
                <w:b/>
                <w:bCs/>
                <w:color w:val="auto"/>
                <w:sz w:val="21"/>
                <w:szCs w:val="21"/>
                <w:highlight w:val="none"/>
              </w:rPr>
              <w:t>中华人民共和国</w:t>
            </w:r>
            <w:r>
              <w:rPr>
                <w:rStyle w:val="185"/>
                <w:rFonts w:hint="eastAsia" w:ascii="Times New Roman" w:hAnsi="Times New Roman" w:eastAsia="仿宋_GB2312" w:cs="仿宋_GB2312"/>
                <w:b/>
                <w:bCs/>
                <w:color w:val="auto"/>
                <w:sz w:val="21"/>
                <w:szCs w:val="21"/>
                <w:highlight w:val="none"/>
              </w:rPr>
              <w:t>食品安全法》</w:t>
            </w:r>
            <w:r>
              <w:rPr>
                <w:rStyle w:val="185"/>
                <w:rFonts w:hint="eastAsia" w:ascii="Times New Roman" w:hAnsi="Times New Roman" w:eastAsia="仿宋_GB2312" w:cs="仿宋_GB2312"/>
                <w:b w:val="0"/>
                <w:bCs w:val="0"/>
                <w:color w:val="auto"/>
                <w:sz w:val="21"/>
                <w:szCs w:val="21"/>
                <w:highlight w:val="none"/>
              </w:rPr>
              <w:t>第一百二十六条</w:t>
            </w:r>
            <w:r>
              <w:rPr>
                <w:rStyle w:val="185"/>
                <w:rFonts w:hint="eastAsia" w:ascii="Times New Roman" w:hAnsi="Times New Roman" w:eastAsia="仿宋_GB2312" w:cs="仿宋_GB2312"/>
                <w:b w:val="0"/>
                <w:bCs w:val="0"/>
                <w:color w:val="auto"/>
                <w:sz w:val="21"/>
                <w:szCs w:val="21"/>
                <w:highlight w:val="none"/>
                <w:lang w:eastAsia="zh-CN"/>
              </w:rPr>
              <w:t>第一款第（一）项</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w:t>
            </w:r>
            <w:r>
              <w:rPr>
                <w:rFonts w:hint="eastAsia" w:ascii="Times New Roman" w:hAnsi="Times New Roman" w:eastAsia="仿宋_GB2312" w:cs="仿宋_GB2312"/>
                <w:b w:val="0"/>
                <w:i w:val="0"/>
                <w:color w:val="auto"/>
                <w:sz w:val="21"/>
                <w:szCs w:val="21"/>
                <w:highlight w:val="none"/>
              </w:rPr>
              <w:t>第五十条</w:t>
            </w:r>
            <w:r>
              <w:rPr>
                <w:rFonts w:hint="eastAsia" w:ascii="Times New Roman" w:hAnsi="Times New Roman" w:eastAsia="仿宋_GB2312" w:cs="仿宋_GB2312"/>
                <w:b w:val="0"/>
                <w:i w:val="0"/>
                <w:color w:val="auto"/>
                <w:sz w:val="21"/>
                <w:szCs w:val="21"/>
                <w:highlight w:val="none"/>
                <w:lang w:eastAsia="zh-CN"/>
              </w:rPr>
              <w:t>第一款</w:t>
            </w:r>
            <w:r>
              <w:rPr>
                <w:rFonts w:hint="eastAsia" w:eastAsia="仿宋_GB2312" w:cs="仿宋_GB2312"/>
                <w:b w:val="0"/>
                <w:i w:val="0"/>
                <w:color w:val="auto"/>
                <w:sz w:val="21"/>
                <w:szCs w:val="21"/>
                <w:highlight w:val="none"/>
                <w:lang w:val="en-US" w:eastAsia="zh-CN"/>
              </w:rPr>
              <w:t xml:space="preserve">  </w:t>
            </w:r>
            <w:r>
              <w:rPr>
                <w:rFonts w:hint="eastAsia" w:ascii="Times New Roman" w:hAnsi="Times New Roman" w:eastAsia="仿宋_GB2312" w:cs="仿宋_GB2312"/>
                <w:b w:val="0"/>
                <w:i w:val="0"/>
                <w:color w:val="auto"/>
                <w:sz w:val="21"/>
                <w:szCs w:val="21"/>
                <w:highlight w:val="none"/>
              </w:rPr>
              <w:t>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tc>
      </w:tr>
      <w:tr w14:paraId="0594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307" w:type="pct"/>
            <w:noWrap w:val="0"/>
            <w:vAlign w:val="center"/>
          </w:tcPr>
          <w:p w14:paraId="3C3859DA">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27</w:t>
            </w:r>
          </w:p>
        </w:tc>
        <w:tc>
          <w:tcPr>
            <w:tcW w:w="901" w:type="pct"/>
            <w:noWrap w:val="0"/>
            <w:vAlign w:val="center"/>
          </w:tcPr>
          <w:p w14:paraId="20641E82">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Fonts w:hint="eastAsia" w:ascii="Times New Roman" w:hAnsi="Times New Roman" w:eastAsia="仿宋_GB2312" w:cs="仿宋_GB2312"/>
                <w:b w:val="0"/>
                <w:bCs w:val="0"/>
                <w:color w:val="auto"/>
                <w:sz w:val="21"/>
                <w:szCs w:val="21"/>
                <w:highlight w:val="none"/>
              </w:rPr>
              <w:t>食品生产经营企业未建立食品安全管理制度</w:t>
            </w:r>
            <w:r>
              <w:rPr>
                <w:rFonts w:hint="eastAsia" w:ascii="Times New Roman" w:hAnsi="Times New Roman" w:eastAsia="仿宋_GB2312" w:cs="仿宋_GB2312"/>
                <w:b w:val="0"/>
                <w:bCs w:val="0"/>
                <w:color w:val="auto"/>
                <w:sz w:val="21"/>
                <w:szCs w:val="21"/>
                <w:highlight w:val="none"/>
                <w:lang w:eastAsia="zh-CN"/>
              </w:rPr>
              <w:t>，</w:t>
            </w:r>
            <w:r>
              <w:rPr>
                <w:rFonts w:hint="eastAsia" w:ascii="Times New Roman" w:hAnsi="Times New Roman" w:eastAsia="仿宋_GB2312" w:cs="仿宋_GB2312"/>
                <w:b w:val="0"/>
                <w:bCs w:val="0"/>
                <w:color w:val="auto"/>
                <w:sz w:val="21"/>
                <w:szCs w:val="21"/>
                <w:highlight w:val="none"/>
              </w:rPr>
              <w:t>未</w:t>
            </w:r>
            <w:r>
              <w:rPr>
                <w:rFonts w:hint="eastAsia" w:ascii="Times New Roman" w:hAnsi="Times New Roman" w:eastAsia="仿宋_GB2312" w:cs="仿宋_GB2312"/>
                <w:b w:val="0"/>
                <w:bCs w:val="0"/>
                <w:color w:val="auto"/>
                <w:sz w:val="21"/>
                <w:szCs w:val="21"/>
                <w:highlight w:val="none"/>
                <w:lang w:eastAsia="zh-CN"/>
              </w:rPr>
              <w:t>按规定</w:t>
            </w:r>
            <w:r>
              <w:rPr>
                <w:rStyle w:val="185"/>
                <w:rFonts w:hint="eastAsia" w:ascii="Times New Roman" w:hAnsi="Times New Roman" w:eastAsia="仿宋_GB2312" w:cs="仿宋_GB2312"/>
                <w:b w:val="0"/>
                <w:bCs w:val="0"/>
                <w:color w:val="auto"/>
                <w:sz w:val="21"/>
                <w:szCs w:val="21"/>
                <w:highlight w:val="none"/>
              </w:rPr>
              <w:t>配备</w:t>
            </w:r>
            <w:r>
              <w:rPr>
                <w:rStyle w:val="185"/>
                <w:rFonts w:hint="eastAsia" w:ascii="Times New Roman" w:hAnsi="Times New Roman" w:eastAsia="仿宋_GB2312" w:cs="仿宋_GB2312"/>
                <w:b w:val="0"/>
                <w:bCs w:val="0"/>
                <w:color w:val="auto"/>
                <w:sz w:val="21"/>
                <w:szCs w:val="21"/>
                <w:highlight w:val="none"/>
                <w:lang w:eastAsia="zh-CN"/>
              </w:rPr>
              <w:t>、</w:t>
            </w:r>
            <w:r>
              <w:rPr>
                <w:rStyle w:val="185"/>
                <w:rFonts w:hint="eastAsia" w:ascii="Times New Roman" w:hAnsi="Times New Roman" w:eastAsia="仿宋_GB2312" w:cs="仿宋_GB2312"/>
                <w:b w:val="0"/>
                <w:bCs w:val="0"/>
                <w:color w:val="auto"/>
                <w:sz w:val="21"/>
                <w:szCs w:val="21"/>
                <w:highlight w:val="none"/>
              </w:rPr>
              <w:t>培训和考核</w:t>
            </w:r>
            <w:r>
              <w:rPr>
                <w:rStyle w:val="185"/>
                <w:rFonts w:hint="eastAsia" w:ascii="Times New Roman" w:hAnsi="Times New Roman" w:eastAsia="仿宋_GB2312" w:cs="仿宋_GB2312"/>
                <w:b w:val="0"/>
                <w:bCs w:val="0"/>
                <w:color w:val="auto"/>
                <w:sz w:val="21"/>
                <w:szCs w:val="21"/>
                <w:highlight w:val="none"/>
                <w:lang w:eastAsia="zh-CN"/>
              </w:rPr>
              <w:t>食品安全管理人员的</w:t>
            </w:r>
          </w:p>
        </w:tc>
        <w:tc>
          <w:tcPr>
            <w:tcW w:w="790" w:type="pct"/>
            <w:noWrap w:val="0"/>
            <w:vAlign w:val="center"/>
          </w:tcPr>
          <w:p w14:paraId="716F9E7D">
            <w:pPr>
              <w:keepNext w:val="0"/>
              <w:keepLines w:val="0"/>
              <w:pageBreakBefore w:val="0"/>
              <w:widowControl/>
              <w:spacing w:line="280" w:lineRule="exact"/>
              <w:rPr>
                <w:rFonts w:hint="eastAsia" w:ascii="Times New Roman" w:hAnsi="Times New Roman" w:eastAsia="仿宋_GB2312" w:cs="仿宋_GB2312"/>
                <w:b w:val="0"/>
                <w:bCs w:val="0"/>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lang w:eastAsia="zh-CN"/>
              </w:rPr>
              <w:t>违法</w:t>
            </w:r>
            <w:r>
              <w:rPr>
                <w:rFonts w:hint="eastAsia" w:ascii="Times New Roman" w:hAnsi="Times New Roman" w:eastAsia="仿宋_GB2312" w:cs="仿宋_GB2312"/>
                <w:color w:val="auto"/>
                <w:sz w:val="21"/>
                <w:szCs w:val="21"/>
                <w:highlight w:val="none"/>
              </w:rPr>
              <w:t>情节轻微，没有造成</w:t>
            </w:r>
            <w:r>
              <w:rPr>
                <w:rFonts w:hint="eastAsia" w:ascii="Times New Roman" w:hAnsi="Times New Roman" w:eastAsia="仿宋_GB2312" w:cs="仿宋_GB2312"/>
                <w:color w:val="auto"/>
                <w:sz w:val="21"/>
                <w:szCs w:val="21"/>
                <w:highlight w:val="none"/>
                <w:lang w:eastAsia="zh-CN"/>
              </w:rPr>
              <w:t>食品安全事故等</w:t>
            </w:r>
            <w:r>
              <w:rPr>
                <w:rFonts w:hint="eastAsia" w:ascii="Times New Roman" w:hAnsi="Times New Roman" w:eastAsia="仿宋_GB2312" w:cs="仿宋_GB2312"/>
                <w:color w:val="auto"/>
                <w:sz w:val="21"/>
                <w:szCs w:val="21"/>
                <w:highlight w:val="none"/>
              </w:rPr>
              <w:t>危害后果，</w:t>
            </w:r>
            <w:r>
              <w:rPr>
                <w:rFonts w:hint="eastAsia" w:ascii="Times New Roman" w:hAnsi="Times New Roman" w:eastAsia="仿宋_GB2312" w:cs="仿宋_GB2312"/>
                <w:color w:val="auto"/>
                <w:sz w:val="21"/>
                <w:szCs w:val="21"/>
                <w:highlight w:val="none"/>
                <w:lang w:eastAsia="zh-CN"/>
              </w:rPr>
              <w:t>主动改正或在责令改正</w:t>
            </w:r>
            <w:r>
              <w:rPr>
                <w:rFonts w:hint="eastAsia" w:ascii="Times New Roman" w:hAnsi="Times New Roman" w:eastAsia="仿宋_GB2312" w:cs="仿宋_GB2312"/>
                <w:color w:val="auto"/>
                <w:sz w:val="21"/>
                <w:szCs w:val="21"/>
                <w:highlight w:val="none"/>
              </w:rPr>
              <w:t>期限内改正的</w:t>
            </w:r>
          </w:p>
        </w:tc>
        <w:tc>
          <w:tcPr>
            <w:tcW w:w="3000" w:type="pct"/>
            <w:noWrap w:val="0"/>
            <w:vAlign w:val="center"/>
          </w:tcPr>
          <w:p w14:paraId="346266DF">
            <w:pPr>
              <w:keepNext w:val="0"/>
              <w:keepLines w:val="0"/>
              <w:pageBreakBefore w:val="0"/>
              <w:widowControl/>
              <w:spacing w:line="280" w:lineRule="exact"/>
              <w:jc w:val="left"/>
              <w:rPr>
                <w:rStyle w:val="184"/>
                <w:rFonts w:hint="eastAsia" w:ascii="Times New Roman" w:hAnsi="Times New Roman" w:eastAsia="仿宋_GB2312" w:cs="仿宋_GB2312"/>
                <w:color w:val="auto"/>
                <w:sz w:val="21"/>
                <w:szCs w:val="21"/>
                <w:highlight w:val="none"/>
              </w:rPr>
            </w:pPr>
            <w:r>
              <w:rPr>
                <w:rStyle w:val="185"/>
                <w:rFonts w:hint="eastAsia" w:ascii="Times New Roman" w:hAnsi="Times New Roman" w:eastAsia="仿宋_GB2312" w:cs="仿宋_GB2312"/>
                <w:b/>
                <w:bCs/>
                <w:color w:val="auto"/>
                <w:sz w:val="21"/>
                <w:szCs w:val="21"/>
                <w:highlight w:val="none"/>
              </w:rPr>
              <w:t>《</w:t>
            </w:r>
            <w:r>
              <w:rPr>
                <w:rStyle w:val="184"/>
                <w:rFonts w:hint="eastAsia" w:ascii="Times New Roman" w:hAnsi="Times New Roman" w:eastAsia="仿宋_GB2312" w:cs="仿宋_GB2312"/>
                <w:b/>
                <w:bCs/>
                <w:color w:val="auto"/>
                <w:sz w:val="21"/>
                <w:szCs w:val="21"/>
                <w:highlight w:val="none"/>
              </w:rPr>
              <w:t>中华人民共和国</w:t>
            </w:r>
            <w:r>
              <w:rPr>
                <w:rStyle w:val="185"/>
                <w:rFonts w:hint="eastAsia" w:ascii="Times New Roman" w:hAnsi="Times New Roman" w:eastAsia="仿宋_GB2312" w:cs="仿宋_GB2312"/>
                <w:b/>
                <w:bCs/>
                <w:color w:val="auto"/>
                <w:sz w:val="21"/>
                <w:szCs w:val="21"/>
                <w:highlight w:val="none"/>
              </w:rPr>
              <w:t>食品安全法》</w:t>
            </w:r>
            <w:r>
              <w:rPr>
                <w:rStyle w:val="185"/>
                <w:rFonts w:hint="eastAsia" w:ascii="Times New Roman" w:hAnsi="Times New Roman" w:eastAsia="仿宋_GB2312" w:cs="仿宋_GB2312"/>
                <w:b w:val="0"/>
                <w:bCs w:val="0"/>
                <w:color w:val="auto"/>
                <w:sz w:val="21"/>
                <w:szCs w:val="21"/>
                <w:highlight w:val="none"/>
              </w:rPr>
              <w:t>第一百二十六条</w:t>
            </w:r>
            <w:r>
              <w:rPr>
                <w:rStyle w:val="185"/>
                <w:rFonts w:hint="eastAsia" w:ascii="Times New Roman" w:hAnsi="Times New Roman" w:eastAsia="仿宋_GB2312" w:cs="仿宋_GB2312"/>
                <w:b w:val="0"/>
                <w:bCs w:val="0"/>
                <w:color w:val="auto"/>
                <w:sz w:val="21"/>
                <w:szCs w:val="21"/>
                <w:highlight w:val="none"/>
                <w:lang w:eastAsia="zh-CN"/>
              </w:rPr>
              <w:t>第一款第（二）项</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违反本法规定，有下列情形之一的，由县级以上人民政府食品安全监督管理部门责令改正，给予警告；拒不改正的，处五千元以上五万元以下罚款；情节严重的，责令停产停业，直至吊销许可证：（二）食品生产经营企业未按规定建立食品安全管理制度，或者未按规定配备或者培训、考核食品安全管理人员；</w:t>
            </w:r>
          </w:p>
        </w:tc>
      </w:tr>
      <w:tr w14:paraId="791F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307" w:type="pct"/>
            <w:noWrap w:val="0"/>
            <w:vAlign w:val="center"/>
          </w:tcPr>
          <w:p w14:paraId="0BA5C120">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28</w:t>
            </w:r>
          </w:p>
        </w:tc>
        <w:tc>
          <w:tcPr>
            <w:tcW w:w="901" w:type="pct"/>
            <w:noWrap w:val="0"/>
            <w:vAlign w:val="center"/>
          </w:tcPr>
          <w:p w14:paraId="081061F7">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lang w:val="en-US" w:eastAsia="zh-CN" w:bidi="ar-SA"/>
              </w:rPr>
            </w:pPr>
            <w:r>
              <w:rPr>
                <w:rStyle w:val="185"/>
                <w:rFonts w:hint="eastAsia" w:ascii="Times New Roman" w:hAnsi="Times New Roman" w:eastAsia="仿宋_GB2312" w:cs="仿宋_GB2312"/>
                <w:b w:val="0"/>
                <w:bCs w:val="0"/>
                <w:color w:val="auto"/>
                <w:sz w:val="21"/>
                <w:szCs w:val="21"/>
                <w:highlight w:val="none"/>
              </w:rPr>
              <w:t>食品、食品添加剂生产企业</w:t>
            </w:r>
            <w:r>
              <w:rPr>
                <w:rStyle w:val="185"/>
                <w:rFonts w:hint="eastAsia" w:ascii="Times New Roman" w:hAnsi="Times New Roman" w:eastAsia="仿宋_GB2312" w:cs="仿宋_GB2312"/>
                <w:b w:val="0"/>
                <w:bCs w:val="0"/>
                <w:color w:val="auto"/>
                <w:sz w:val="21"/>
                <w:szCs w:val="21"/>
                <w:highlight w:val="none"/>
                <w:lang w:eastAsia="zh-CN"/>
              </w:rPr>
              <w:t>未</w:t>
            </w:r>
            <w:r>
              <w:rPr>
                <w:rStyle w:val="185"/>
                <w:rFonts w:hint="eastAsia" w:ascii="Times New Roman" w:hAnsi="Times New Roman" w:eastAsia="仿宋_GB2312" w:cs="仿宋_GB2312"/>
                <w:b w:val="0"/>
                <w:bCs w:val="0"/>
                <w:color w:val="auto"/>
                <w:sz w:val="21"/>
                <w:szCs w:val="21"/>
                <w:highlight w:val="none"/>
              </w:rPr>
              <w:t>按规定建立并遵守进货查验记录、出厂检验记录和销售记录制度</w:t>
            </w:r>
            <w:r>
              <w:rPr>
                <w:rStyle w:val="185"/>
                <w:rFonts w:hint="eastAsia" w:ascii="Times New Roman" w:hAnsi="Times New Roman" w:eastAsia="仿宋_GB2312" w:cs="仿宋_GB2312"/>
                <w:b w:val="0"/>
                <w:bCs w:val="0"/>
                <w:color w:val="auto"/>
                <w:sz w:val="21"/>
                <w:szCs w:val="21"/>
                <w:highlight w:val="none"/>
                <w:lang w:eastAsia="zh-CN"/>
              </w:rPr>
              <w:t>的</w:t>
            </w:r>
          </w:p>
        </w:tc>
        <w:tc>
          <w:tcPr>
            <w:tcW w:w="790" w:type="pct"/>
            <w:noWrap w:val="0"/>
            <w:vAlign w:val="center"/>
          </w:tcPr>
          <w:p w14:paraId="75E3A312">
            <w:pPr>
              <w:keepNext w:val="0"/>
              <w:keepLines w:val="0"/>
              <w:pageBreakBefore w:val="0"/>
              <w:widowControl/>
              <w:spacing w:line="280" w:lineRule="exact"/>
              <w:rPr>
                <w:rFonts w:hint="eastAsia" w:ascii="Times New Roman" w:hAnsi="Times New Roman" w:eastAsia="仿宋_GB2312" w:cs="仿宋_GB2312"/>
                <w:b w:val="0"/>
                <w:bCs w:val="0"/>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lang w:eastAsia="zh-CN"/>
              </w:rPr>
              <w:t>违法</w:t>
            </w:r>
            <w:r>
              <w:rPr>
                <w:rFonts w:hint="eastAsia" w:ascii="Times New Roman" w:hAnsi="Times New Roman" w:eastAsia="仿宋_GB2312" w:cs="仿宋_GB2312"/>
                <w:color w:val="auto"/>
                <w:sz w:val="21"/>
                <w:szCs w:val="21"/>
                <w:highlight w:val="none"/>
              </w:rPr>
              <w:t>情节轻微，没有造成</w:t>
            </w:r>
            <w:r>
              <w:rPr>
                <w:rFonts w:hint="eastAsia" w:ascii="Times New Roman" w:hAnsi="Times New Roman" w:eastAsia="仿宋_GB2312" w:cs="仿宋_GB2312"/>
                <w:color w:val="auto"/>
                <w:sz w:val="21"/>
                <w:szCs w:val="21"/>
                <w:highlight w:val="none"/>
                <w:lang w:eastAsia="zh-CN"/>
              </w:rPr>
              <w:t>食品安全事故等</w:t>
            </w:r>
            <w:r>
              <w:rPr>
                <w:rFonts w:hint="eastAsia" w:ascii="Times New Roman" w:hAnsi="Times New Roman" w:eastAsia="仿宋_GB2312" w:cs="仿宋_GB2312"/>
                <w:color w:val="auto"/>
                <w:sz w:val="21"/>
                <w:szCs w:val="21"/>
                <w:highlight w:val="none"/>
              </w:rPr>
              <w:t>危害后果，</w:t>
            </w:r>
            <w:r>
              <w:rPr>
                <w:rFonts w:hint="eastAsia" w:ascii="Times New Roman" w:hAnsi="Times New Roman" w:eastAsia="仿宋_GB2312" w:cs="仿宋_GB2312"/>
                <w:color w:val="auto"/>
                <w:sz w:val="21"/>
                <w:szCs w:val="21"/>
                <w:highlight w:val="none"/>
                <w:lang w:eastAsia="zh-CN"/>
              </w:rPr>
              <w:t>主动改正或在责令改正</w:t>
            </w:r>
            <w:r>
              <w:rPr>
                <w:rFonts w:hint="eastAsia" w:ascii="Times New Roman" w:hAnsi="Times New Roman" w:eastAsia="仿宋_GB2312" w:cs="仿宋_GB2312"/>
                <w:color w:val="auto"/>
                <w:sz w:val="21"/>
                <w:szCs w:val="21"/>
                <w:highlight w:val="none"/>
              </w:rPr>
              <w:t>期限内改正的</w:t>
            </w:r>
          </w:p>
        </w:tc>
        <w:tc>
          <w:tcPr>
            <w:tcW w:w="3000" w:type="pct"/>
            <w:noWrap w:val="0"/>
            <w:vAlign w:val="center"/>
          </w:tcPr>
          <w:p w14:paraId="3FD4C6AA">
            <w:pPr>
              <w:keepNext w:val="0"/>
              <w:keepLines w:val="0"/>
              <w:pageBreakBefore w:val="0"/>
              <w:widowControl/>
              <w:spacing w:line="280" w:lineRule="exact"/>
              <w:jc w:val="left"/>
              <w:rPr>
                <w:rStyle w:val="185"/>
                <w:rFonts w:hint="eastAsia" w:ascii="Times New Roman" w:hAnsi="Times New Roman" w:eastAsia="仿宋_GB2312" w:cs="仿宋_GB2312"/>
                <w:b w:val="0"/>
                <w:bCs w:val="0"/>
                <w:color w:val="auto"/>
                <w:sz w:val="21"/>
                <w:szCs w:val="21"/>
                <w:highlight w:val="none"/>
              </w:rPr>
            </w:pPr>
            <w:r>
              <w:rPr>
                <w:rStyle w:val="185"/>
                <w:rFonts w:hint="eastAsia" w:ascii="Times New Roman" w:hAnsi="Times New Roman" w:eastAsia="仿宋_GB2312" w:cs="仿宋_GB2312"/>
                <w:b/>
                <w:bCs/>
                <w:color w:val="auto"/>
                <w:sz w:val="21"/>
                <w:szCs w:val="21"/>
                <w:highlight w:val="none"/>
              </w:rPr>
              <w:t>《</w:t>
            </w:r>
            <w:r>
              <w:rPr>
                <w:rStyle w:val="184"/>
                <w:rFonts w:hint="eastAsia" w:ascii="Times New Roman" w:hAnsi="Times New Roman" w:eastAsia="仿宋_GB2312" w:cs="仿宋_GB2312"/>
                <w:b/>
                <w:bCs/>
                <w:color w:val="auto"/>
                <w:sz w:val="21"/>
                <w:szCs w:val="21"/>
                <w:highlight w:val="none"/>
              </w:rPr>
              <w:t>中华人民共和国</w:t>
            </w:r>
            <w:r>
              <w:rPr>
                <w:rStyle w:val="185"/>
                <w:rFonts w:hint="eastAsia" w:ascii="Times New Roman" w:hAnsi="Times New Roman" w:eastAsia="仿宋_GB2312" w:cs="仿宋_GB2312"/>
                <w:b/>
                <w:bCs/>
                <w:color w:val="auto"/>
                <w:sz w:val="21"/>
                <w:szCs w:val="21"/>
                <w:highlight w:val="none"/>
              </w:rPr>
              <w:t>食品安全法》</w:t>
            </w:r>
            <w:r>
              <w:rPr>
                <w:rStyle w:val="185"/>
                <w:rFonts w:hint="eastAsia" w:ascii="Times New Roman" w:hAnsi="Times New Roman" w:eastAsia="仿宋_GB2312" w:cs="仿宋_GB2312"/>
                <w:b w:val="0"/>
                <w:bCs w:val="0"/>
                <w:color w:val="auto"/>
                <w:sz w:val="21"/>
                <w:szCs w:val="21"/>
                <w:highlight w:val="none"/>
              </w:rPr>
              <w:t>第一百二十六条</w:t>
            </w:r>
            <w:r>
              <w:rPr>
                <w:rStyle w:val="185"/>
                <w:rFonts w:hint="eastAsia" w:ascii="Times New Roman" w:hAnsi="Times New Roman" w:eastAsia="仿宋_GB2312" w:cs="仿宋_GB2312"/>
                <w:b w:val="0"/>
                <w:bCs w:val="0"/>
                <w:color w:val="auto"/>
                <w:sz w:val="21"/>
                <w:szCs w:val="21"/>
                <w:highlight w:val="none"/>
                <w:lang w:eastAsia="zh-CN"/>
              </w:rPr>
              <w:t>第一款第（三）项</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w:t>
            </w:r>
          </w:p>
        </w:tc>
      </w:tr>
      <w:tr w14:paraId="75BD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307" w:type="pct"/>
            <w:noWrap w:val="0"/>
            <w:vAlign w:val="center"/>
          </w:tcPr>
          <w:p w14:paraId="47DA3BC8">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29</w:t>
            </w:r>
          </w:p>
        </w:tc>
        <w:tc>
          <w:tcPr>
            <w:tcW w:w="901" w:type="pct"/>
            <w:noWrap w:val="0"/>
            <w:vAlign w:val="center"/>
          </w:tcPr>
          <w:p w14:paraId="3A6CB8B6">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rPr>
              <w:t>食品生产经营企业未制定食品安全事故处置方案</w:t>
            </w:r>
          </w:p>
        </w:tc>
        <w:tc>
          <w:tcPr>
            <w:tcW w:w="790" w:type="pct"/>
            <w:noWrap w:val="0"/>
            <w:vAlign w:val="center"/>
          </w:tcPr>
          <w:p w14:paraId="7165D8D7">
            <w:pPr>
              <w:keepNext w:val="0"/>
              <w:keepLines w:val="0"/>
              <w:pageBreakBefore w:val="0"/>
              <w:widowControl/>
              <w:spacing w:line="280" w:lineRule="exact"/>
              <w:rPr>
                <w:rFonts w:hint="eastAsia" w:ascii="Times New Roman" w:hAnsi="Times New Roman" w:eastAsia="仿宋_GB2312" w:cs="仿宋_GB2312"/>
                <w:b w:val="0"/>
                <w:bCs w:val="0"/>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lang w:eastAsia="zh-CN"/>
              </w:rPr>
              <w:t>违法</w:t>
            </w:r>
            <w:r>
              <w:rPr>
                <w:rFonts w:hint="eastAsia" w:ascii="Times New Roman" w:hAnsi="Times New Roman" w:eastAsia="仿宋_GB2312" w:cs="仿宋_GB2312"/>
                <w:color w:val="auto"/>
                <w:sz w:val="21"/>
                <w:szCs w:val="21"/>
                <w:highlight w:val="none"/>
              </w:rPr>
              <w:t>情节轻微，没有造成</w:t>
            </w:r>
            <w:r>
              <w:rPr>
                <w:rFonts w:hint="eastAsia" w:ascii="Times New Roman" w:hAnsi="Times New Roman" w:eastAsia="仿宋_GB2312" w:cs="仿宋_GB2312"/>
                <w:color w:val="auto"/>
                <w:sz w:val="21"/>
                <w:szCs w:val="21"/>
                <w:highlight w:val="none"/>
                <w:lang w:eastAsia="zh-CN"/>
              </w:rPr>
              <w:t>食品安全事故等</w:t>
            </w:r>
            <w:r>
              <w:rPr>
                <w:rFonts w:hint="eastAsia" w:ascii="Times New Roman" w:hAnsi="Times New Roman" w:eastAsia="仿宋_GB2312" w:cs="仿宋_GB2312"/>
                <w:color w:val="auto"/>
                <w:sz w:val="21"/>
                <w:szCs w:val="21"/>
                <w:highlight w:val="none"/>
              </w:rPr>
              <w:t>危害后果，</w:t>
            </w:r>
            <w:r>
              <w:rPr>
                <w:rFonts w:hint="eastAsia" w:ascii="Times New Roman" w:hAnsi="Times New Roman" w:eastAsia="仿宋_GB2312" w:cs="仿宋_GB2312"/>
                <w:color w:val="auto"/>
                <w:sz w:val="21"/>
                <w:szCs w:val="21"/>
                <w:highlight w:val="none"/>
                <w:lang w:eastAsia="zh-CN"/>
              </w:rPr>
              <w:t>主动改正或在责令改正</w:t>
            </w:r>
            <w:r>
              <w:rPr>
                <w:rFonts w:hint="eastAsia" w:ascii="Times New Roman" w:hAnsi="Times New Roman" w:eastAsia="仿宋_GB2312" w:cs="仿宋_GB2312"/>
                <w:color w:val="auto"/>
                <w:sz w:val="21"/>
                <w:szCs w:val="21"/>
                <w:highlight w:val="none"/>
              </w:rPr>
              <w:t>期限内改正的</w:t>
            </w:r>
          </w:p>
        </w:tc>
        <w:tc>
          <w:tcPr>
            <w:tcW w:w="3000" w:type="pct"/>
            <w:noWrap w:val="0"/>
            <w:vAlign w:val="center"/>
          </w:tcPr>
          <w:p w14:paraId="45BC203C">
            <w:pPr>
              <w:keepNext w:val="0"/>
              <w:keepLines w:val="0"/>
              <w:pageBreakBefore w:val="0"/>
              <w:widowControl/>
              <w:spacing w:line="280" w:lineRule="exact"/>
              <w:jc w:val="left"/>
              <w:rPr>
                <w:rStyle w:val="184"/>
                <w:rFonts w:hint="eastAsia" w:ascii="Times New Roman" w:hAnsi="Times New Roman" w:eastAsia="仿宋_GB2312" w:cs="仿宋_GB2312"/>
                <w:b w:val="0"/>
                <w:bCs w:val="0"/>
                <w:color w:val="auto"/>
                <w:sz w:val="21"/>
                <w:szCs w:val="21"/>
                <w:highlight w:val="none"/>
              </w:rPr>
            </w:pPr>
            <w:r>
              <w:rPr>
                <w:rStyle w:val="185"/>
                <w:rFonts w:hint="eastAsia" w:ascii="Times New Roman" w:hAnsi="Times New Roman" w:eastAsia="仿宋_GB2312" w:cs="仿宋_GB2312"/>
                <w:b/>
                <w:bCs/>
                <w:color w:val="auto"/>
                <w:sz w:val="21"/>
                <w:szCs w:val="21"/>
                <w:highlight w:val="none"/>
              </w:rPr>
              <w:t>《</w:t>
            </w:r>
            <w:r>
              <w:rPr>
                <w:rStyle w:val="184"/>
                <w:rFonts w:hint="eastAsia" w:ascii="Times New Roman" w:hAnsi="Times New Roman" w:eastAsia="仿宋_GB2312" w:cs="仿宋_GB2312"/>
                <w:b/>
                <w:bCs/>
                <w:color w:val="auto"/>
                <w:sz w:val="21"/>
                <w:szCs w:val="21"/>
                <w:highlight w:val="none"/>
              </w:rPr>
              <w:t>中华人民共和国</w:t>
            </w:r>
            <w:r>
              <w:rPr>
                <w:rStyle w:val="185"/>
                <w:rFonts w:hint="eastAsia" w:ascii="Times New Roman" w:hAnsi="Times New Roman" w:eastAsia="仿宋_GB2312" w:cs="仿宋_GB2312"/>
                <w:b/>
                <w:bCs/>
                <w:color w:val="auto"/>
                <w:sz w:val="21"/>
                <w:szCs w:val="21"/>
                <w:highlight w:val="none"/>
              </w:rPr>
              <w:t>食品安全法》</w:t>
            </w:r>
            <w:r>
              <w:rPr>
                <w:rStyle w:val="184"/>
                <w:rFonts w:hint="eastAsia" w:ascii="Times New Roman" w:hAnsi="Times New Roman" w:eastAsia="仿宋_GB2312" w:cs="仿宋_GB2312"/>
                <w:b w:val="0"/>
                <w:bCs w:val="0"/>
                <w:color w:val="auto"/>
                <w:sz w:val="21"/>
                <w:szCs w:val="21"/>
                <w:highlight w:val="none"/>
              </w:rPr>
              <w:t>第一百二十六条</w:t>
            </w:r>
            <w:r>
              <w:rPr>
                <w:rStyle w:val="185"/>
                <w:rFonts w:hint="eastAsia" w:ascii="Times New Roman" w:hAnsi="Times New Roman" w:eastAsia="仿宋_GB2312" w:cs="仿宋_GB2312"/>
                <w:b w:val="0"/>
                <w:bCs w:val="0"/>
                <w:color w:val="auto"/>
                <w:sz w:val="21"/>
                <w:szCs w:val="21"/>
                <w:highlight w:val="none"/>
                <w:lang w:eastAsia="zh-CN"/>
              </w:rPr>
              <w:t>第一款第（四）项</w:t>
            </w:r>
            <w:r>
              <w:rPr>
                <w:rStyle w:val="184"/>
                <w:rFonts w:hint="eastAsia"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rPr>
              <w:t>违反本法规定，有下列情形之一的，由县级以上人民政府食品安全监督管理部门责令改正，给予警告；拒不改正的，处五千元以上五万元以下罚款；情节严重的，责令停产停业，直至吊销许可证：（四）食品生产经营企业未制定食品安全事故处置方案；</w:t>
            </w:r>
          </w:p>
        </w:tc>
      </w:tr>
      <w:tr w14:paraId="010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1" w:hRule="atLeast"/>
          <w:jc w:val="center"/>
        </w:trPr>
        <w:tc>
          <w:tcPr>
            <w:tcW w:w="307" w:type="pct"/>
            <w:noWrap w:val="0"/>
            <w:vAlign w:val="center"/>
          </w:tcPr>
          <w:p w14:paraId="379772DE">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30</w:t>
            </w:r>
          </w:p>
        </w:tc>
        <w:tc>
          <w:tcPr>
            <w:tcW w:w="901" w:type="pct"/>
            <w:noWrap w:val="0"/>
            <w:vAlign w:val="center"/>
          </w:tcPr>
          <w:p w14:paraId="60512A85">
            <w:pPr>
              <w:keepNext w:val="0"/>
              <w:keepLines w:val="0"/>
              <w:pageBreakBefore w:val="0"/>
              <w:widowControl/>
              <w:spacing w:line="30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rPr>
              <w:t>餐具、饮具和盛放直接入口食品的容器，使用前未经洗净、消毒或者清洗消毒不合格，或者餐饮服务设施、设备未按规定定期维护、清洗、校验</w:t>
            </w:r>
          </w:p>
        </w:tc>
        <w:tc>
          <w:tcPr>
            <w:tcW w:w="790" w:type="pct"/>
            <w:noWrap w:val="0"/>
            <w:vAlign w:val="center"/>
          </w:tcPr>
          <w:p w14:paraId="23DED6C8">
            <w:pPr>
              <w:keepNext w:val="0"/>
              <w:keepLines w:val="0"/>
              <w:pageBreakBefore w:val="0"/>
              <w:widowControl/>
              <w:spacing w:line="300" w:lineRule="exact"/>
              <w:jc w:val="left"/>
              <w:rPr>
                <w:rFonts w:hint="eastAsia" w:ascii="Times New Roman" w:hAnsi="Times New Roman" w:eastAsia="仿宋_GB2312" w:cs="仿宋_GB2312"/>
                <w:b w:val="0"/>
                <w:bCs w:val="0"/>
                <w:color w:val="auto"/>
                <w:sz w:val="21"/>
                <w:szCs w:val="21"/>
                <w:highlight w:val="none"/>
                <w:lang w:val="en-US" w:eastAsia="zh-CN" w:bidi="ar-SA"/>
              </w:rPr>
            </w:pPr>
            <w:r>
              <w:rPr>
                <w:rFonts w:hint="eastAsia" w:ascii="Times New Roman" w:hAnsi="Times New Roman" w:eastAsia="仿宋_GB2312" w:cs="仿宋_GB2312"/>
                <w:b w:val="0"/>
                <w:bCs w:val="0"/>
                <w:color w:val="auto"/>
                <w:sz w:val="21"/>
                <w:szCs w:val="21"/>
                <w:highlight w:val="none"/>
                <w:lang w:eastAsia="zh-CN"/>
              </w:rPr>
              <w:t>属于首次违法，</w:t>
            </w:r>
            <w:r>
              <w:rPr>
                <w:rFonts w:hint="eastAsia" w:ascii="Times New Roman" w:hAnsi="Times New Roman" w:eastAsia="仿宋_GB2312" w:cs="仿宋_GB2312"/>
                <w:b w:val="0"/>
                <w:bCs w:val="0"/>
                <w:color w:val="auto"/>
                <w:sz w:val="21"/>
                <w:szCs w:val="21"/>
                <w:highlight w:val="none"/>
              </w:rPr>
              <w:t>未发生食品安全事故</w:t>
            </w:r>
            <w:r>
              <w:rPr>
                <w:rFonts w:hint="eastAsia" w:ascii="Times New Roman" w:hAnsi="Times New Roman" w:eastAsia="仿宋_GB2312" w:cs="仿宋_GB2312"/>
                <w:b w:val="0"/>
                <w:bCs w:val="0"/>
                <w:color w:val="auto"/>
                <w:sz w:val="21"/>
                <w:szCs w:val="21"/>
                <w:highlight w:val="none"/>
                <w:lang w:eastAsia="zh-CN"/>
              </w:rPr>
              <w:t>等危害后果，主动改正或在责令改正期限内改正的</w:t>
            </w:r>
          </w:p>
        </w:tc>
        <w:tc>
          <w:tcPr>
            <w:tcW w:w="3000" w:type="pct"/>
            <w:noWrap w:val="0"/>
            <w:vAlign w:val="center"/>
          </w:tcPr>
          <w:p w14:paraId="67624835">
            <w:pPr>
              <w:keepNext w:val="0"/>
              <w:keepLines w:val="0"/>
              <w:pageBreakBefore w:val="0"/>
              <w:widowControl/>
              <w:spacing w:line="320" w:lineRule="exact"/>
              <w:jc w:val="left"/>
              <w:rPr>
                <w:rStyle w:val="184"/>
                <w:rFonts w:hint="eastAsia" w:ascii="Times New Roman" w:hAnsi="Times New Roman" w:eastAsia="仿宋_GB2312" w:cs="仿宋_GB2312"/>
                <w:color w:val="auto"/>
                <w:sz w:val="21"/>
                <w:szCs w:val="21"/>
                <w:highlight w:val="none"/>
              </w:rPr>
            </w:pPr>
            <w:r>
              <w:rPr>
                <w:rStyle w:val="185"/>
                <w:rFonts w:hint="eastAsia" w:ascii="Times New Roman" w:hAnsi="Times New Roman" w:eastAsia="仿宋_GB2312" w:cs="仿宋_GB2312"/>
                <w:b/>
                <w:bCs/>
                <w:color w:val="auto"/>
                <w:sz w:val="21"/>
                <w:szCs w:val="21"/>
                <w:highlight w:val="none"/>
              </w:rPr>
              <w:t>《</w:t>
            </w:r>
            <w:r>
              <w:rPr>
                <w:rStyle w:val="184"/>
                <w:rFonts w:hint="eastAsia" w:ascii="Times New Roman" w:hAnsi="Times New Roman" w:eastAsia="仿宋_GB2312" w:cs="仿宋_GB2312"/>
                <w:b/>
                <w:bCs/>
                <w:color w:val="auto"/>
                <w:sz w:val="21"/>
                <w:szCs w:val="21"/>
                <w:highlight w:val="none"/>
              </w:rPr>
              <w:t>中华人民共和国</w:t>
            </w:r>
            <w:r>
              <w:rPr>
                <w:rStyle w:val="185"/>
                <w:rFonts w:hint="eastAsia" w:ascii="Times New Roman" w:hAnsi="Times New Roman" w:eastAsia="仿宋_GB2312" w:cs="仿宋_GB2312"/>
                <w:b/>
                <w:bCs/>
                <w:color w:val="auto"/>
                <w:sz w:val="21"/>
                <w:szCs w:val="21"/>
                <w:highlight w:val="none"/>
              </w:rPr>
              <w:t>食品安全法》</w:t>
            </w:r>
            <w:r>
              <w:rPr>
                <w:rStyle w:val="184"/>
                <w:rFonts w:hint="eastAsia" w:ascii="Times New Roman" w:hAnsi="Times New Roman" w:eastAsia="仿宋_GB2312" w:cs="仿宋_GB2312"/>
                <w:b w:val="0"/>
                <w:bCs w:val="0"/>
                <w:color w:val="auto"/>
                <w:sz w:val="21"/>
                <w:szCs w:val="21"/>
                <w:highlight w:val="none"/>
              </w:rPr>
              <w:t>第一百二十六条</w:t>
            </w:r>
            <w:r>
              <w:rPr>
                <w:rStyle w:val="185"/>
                <w:rFonts w:hint="eastAsia" w:ascii="Times New Roman" w:hAnsi="Times New Roman" w:eastAsia="仿宋_GB2312" w:cs="仿宋_GB2312"/>
                <w:b w:val="0"/>
                <w:bCs w:val="0"/>
                <w:color w:val="auto"/>
                <w:sz w:val="21"/>
                <w:szCs w:val="21"/>
                <w:highlight w:val="none"/>
                <w:lang w:eastAsia="zh-CN"/>
              </w:rPr>
              <w:t>第一款第（五）项</w:t>
            </w:r>
            <w:r>
              <w:rPr>
                <w:rStyle w:val="184"/>
                <w:rFonts w:hint="eastAsia"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rPr>
              <w:t>违反本法规定，有下列情形之一的，由县级以上人民政府食品安全监督管理部门责令改正，给予警告；拒不改正的，处五千元以上五万元以下罚款；情节严重的，责令停产停业，直至吊销许可证：（五）餐具、饮具和盛放直接入口食品的容器，使用前未经洗净、消毒或者清洗消毒不合格，或者餐饮服务设施、设备未按规定定期维护、清洗、校验；</w:t>
            </w:r>
          </w:p>
        </w:tc>
      </w:tr>
      <w:tr w14:paraId="5AB6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jc w:val="center"/>
        </w:trPr>
        <w:tc>
          <w:tcPr>
            <w:tcW w:w="307" w:type="pct"/>
            <w:noWrap w:val="0"/>
            <w:vAlign w:val="center"/>
          </w:tcPr>
          <w:p w14:paraId="676CEFA0">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31</w:t>
            </w:r>
          </w:p>
        </w:tc>
        <w:tc>
          <w:tcPr>
            <w:tcW w:w="901" w:type="pct"/>
            <w:noWrap w:val="0"/>
            <w:vAlign w:val="center"/>
          </w:tcPr>
          <w:p w14:paraId="0F299AE1">
            <w:pPr>
              <w:keepNext w:val="0"/>
              <w:keepLines w:val="0"/>
              <w:pageBreakBefore w:val="0"/>
              <w:widowControl/>
              <w:spacing w:line="300" w:lineRule="exact"/>
              <w:jc w:val="left"/>
              <w:rPr>
                <w:rStyle w:val="185"/>
                <w:rFonts w:hint="eastAsia" w:ascii="Times New Roman" w:hAnsi="Times New Roman" w:eastAsia="仿宋_GB2312" w:cs="仿宋_GB2312"/>
                <w:b w:val="0"/>
                <w:bCs w:val="0"/>
                <w:color w:val="auto"/>
                <w:sz w:val="21"/>
                <w:szCs w:val="21"/>
                <w:highlight w:val="none"/>
                <w:lang w:eastAsia="zh-CN"/>
              </w:rPr>
            </w:pPr>
            <w:r>
              <w:rPr>
                <w:rStyle w:val="185"/>
                <w:rFonts w:hint="eastAsia" w:ascii="Times New Roman" w:hAnsi="Times New Roman" w:eastAsia="仿宋_GB2312" w:cs="仿宋_GB2312"/>
                <w:b w:val="0"/>
                <w:bCs w:val="0"/>
                <w:color w:val="auto"/>
                <w:sz w:val="21"/>
                <w:szCs w:val="21"/>
                <w:highlight w:val="none"/>
                <w:lang w:eastAsia="zh-CN"/>
              </w:rPr>
              <w:t>食品生产经营者安排未取得健康证明的人员从事接触直接入口食品的工作</w:t>
            </w:r>
          </w:p>
        </w:tc>
        <w:tc>
          <w:tcPr>
            <w:tcW w:w="790" w:type="pct"/>
            <w:noWrap w:val="0"/>
            <w:vAlign w:val="center"/>
          </w:tcPr>
          <w:p w14:paraId="12487815">
            <w:pPr>
              <w:keepNext w:val="0"/>
              <w:keepLines w:val="0"/>
              <w:pageBreakBefore w:val="0"/>
              <w:widowControl/>
              <w:spacing w:line="300" w:lineRule="exact"/>
              <w:jc w:val="left"/>
              <w:rPr>
                <w:rFonts w:hint="eastAsia" w:ascii="Times New Roman" w:hAnsi="Times New Roman" w:eastAsia="仿宋_GB2312" w:cs="仿宋_GB2312"/>
                <w:b w:val="0"/>
                <w:bCs w:val="0"/>
                <w:color w:val="auto"/>
                <w:sz w:val="21"/>
                <w:szCs w:val="21"/>
                <w:highlight w:val="none"/>
                <w:lang w:eastAsia="zh-CN"/>
              </w:rPr>
            </w:pPr>
            <w:r>
              <w:rPr>
                <w:rFonts w:hint="eastAsia" w:ascii="Times New Roman" w:hAnsi="Times New Roman" w:eastAsia="仿宋_GB2312" w:cs="仿宋_GB2312"/>
                <w:b w:val="0"/>
                <w:bCs w:val="0"/>
                <w:color w:val="auto"/>
                <w:sz w:val="21"/>
                <w:szCs w:val="21"/>
                <w:highlight w:val="none"/>
                <w:lang w:eastAsia="zh-CN"/>
              </w:rPr>
              <w:t>属于首次违法，未造成食品安全事故等危害后果，经责令改正后取得有效健康证明的</w:t>
            </w:r>
          </w:p>
        </w:tc>
        <w:tc>
          <w:tcPr>
            <w:tcW w:w="3000" w:type="pct"/>
            <w:noWrap w:val="0"/>
            <w:vAlign w:val="center"/>
          </w:tcPr>
          <w:p w14:paraId="17CB411A">
            <w:pPr>
              <w:keepNext w:val="0"/>
              <w:keepLines w:val="0"/>
              <w:pageBreakBefore w:val="0"/>
              <w:widowControl/>
              <w:spacing w:line="320" w:lineRule="exact"/>
              <w:jc w:val="left"/>
              <w:rPr>
                <w:rFonts w:hint="eastAsia" w:ascii="Times New Roman" w:hAnsi="Times New Roman" w:eastAsia="仿宋_GB2312" w:cs="仿宋_GB2312"/>
                <w:b/>
                <w:bCs/>
                <w:color w:val="auto"/>
                <w:sz w:val="21"/>
                <w:szCs w:val="21"/>
                <w:highlight w:val="none"/>
                <w:u w:val="none"/>
                <w:lang w:val="en-US" w:eastAsia="zh-CN" w:bidi="ar-SA"/>
              </w:rPr>
            </w:pPr>
            <w:r>
              <w:rPr>
                <w:rStyle w:val="185"/>
                <w:rFonts w:hint="eastAsia" w:ascii="Times New Roman" w:hAnsi="Times New Roman" w:eastAsia="仿宋_GB2312" w:cs="仿宋_GB2312"/>
                <w:b/>
                <w:bCs/>
                <w:color w:val="auto"/>
                <w:sz w:val="21"/>
                <w:szCs w:val="21"/>
                <w:highlight w:val="none"/>
              </w:rPr>
              <w:t>《</w:t>
            </w:r>
            <w:r>
              <w:rPr>
                <w:rStyle w:val="184"/>
                <w:rFonts w:hint="eastAsia" w:ascii="Times New Roman" w:hAnsi="Times New Roman" w:eastAsia="仿宋_GB2312" w:cs="仿宋_GB2312"/>
                <w:b/>
                <w:bCs/>
                <w:color w:val="auto"/>
                <w:sz w:val="21"/>
                <w:szCs w:val="21"/>
                <w:highlight w:val="none"/>
              </w:rPr>
              <w:t>中华人民共和国</w:t>
            </w:r>
            <w:r>
              <w:rPr>
                <w:rStyle w:val="185"/>
                <w:rFonts w:hint="eastAsia" w:ascii="Times New Roman" w:hAnsi="Times New Roman" w:eastAsia="仿宋_GB2312" w:cs="仿宋_GB2312"/>
                <w:b/>
                <w:bCs/>
                <w:color w:val="auto"/>
                <w:sz w:val="21"/>
                <w:szCs w:val="21"/>
                <w:highlight w:val="none"/>
              </w:rPr>
              <w:t>食品安全法》</w:t>
            </w:r>
            <w:r>
              <w:rPr>
                <w:rStyle w:val="184"/>
                <w:rFonts w:hint="eastAsia" w:ascii="Times New Roman" w:hAnsi="Times New Roman" w:eastAsia="仿宋_GB2312" w:cs="仿宋_GB2312"/>
                <w:b w:val="0"/>
                <w:bCs w:val="0"/>
                <w:color w:val="auto"/>
                <w:sz w:val="21"/>
                <w:szCs w:val="21"/>
                <w:highlight w:val="none"/>
              </w:rPr>
              <w:t>第一百二十六条</w:t>
            </w:r>
            <w:r>
              <w:rPr>
                <w:rStyle w:val="185"/>
                <w:rFonts w:hint="eastAsia" w:ascii="Times New Roman" w:hAnsi="Times New Roman" w:eastAsia="仿宋_GB2312" w:cs="仿宋_GB2312"/>
                <w:b w:val="0"/>
                <w:bCs w:val="0"/>
                <w:color w:val="auto"/>
                <w:sz w:val="21"/>
                <w:szCs w:val="21"/>
                <w:highlight w:val="none"/>
                <w:lang w:eastAsia="zh-CN"/>
              </w:rPr>
              <w:t>第一款第（六）项</w:t>
            </w:r>
            <w:r>
              <w:rPr>
                <w:rStyle w:val="184"/>
                <w:rFonts w:hint="eastAsia"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rPr>
              <w:t>违反本法规定，有下列情形之一的，由县级以上人民政府食品安全监督管理部门责令改正，给予警告；拒不改正的，处五千元以上五万元以下罚款；情节严重的，责令停产停业，直至吊销许可证：（六）食品生产经营者安排未取得健康证明或者患有国务院卫生行政部门规定的有碍食品安全疾病的人员从事接触直接入口食品的工作；</w:t>
            </w:r>
          </w:p>
        </w:tc>
      </w:tr>
      <w:tr w14:paraId="1D4F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jc w:val="center"/>
        </w:trPr>
        <w:tc>
          <w:tcPr>
            <w:tcW w:w="307" w:type="pct"/>
            <w:noWrap w:val="0"/>
            <w:vAlign w:val="center"/>
          </w:tcPr>
          <w:p w14:paraId="78C3D611">
            <w:pPr>
              <w:widowControl/>
              <w:spacing w:line="280" w:lineRule="exact"/>
              <w:jc w:val="center"/>
              <w:rPr>
                <w:rFonts w:hint="eastAsia" w:ascii="Times New Roman" w:hAnsi="Times New Roman" w:eastAsia="仿宋" w:cs="仿宋"/>
                <w:color w:val="auto"/>
                <w:sz w:val="21"/>
                <w:szCs w:val="21"/>
                <w:highlight w:val="none"/>
              </w:rPr>
            </w:pPr>
            <w:r>
              <w:rPr>
                <w:rStyle w:val="184"/>
                <w:rFonts w:hint="eastAsia" w:ascii="Times New Roman" w:hAnsi="Times New Roman" w:eastAsia="仿宋" w:cs="仿宋"/>
                <w:b w:val="0"/>
                <w:bCs w:val="0"/>
                <w:color w:val="auto"/>
                <w:sz w:val="21"/>
                <w:szCs w:val="21"/>
                <w:highlight w:val="none"/>
              </w:rPr>
              <w:t>32</w:t>
            </w:r>
          </w:p>
        </w:tc>
        <w:tc>
          <w:tcPr>
            <w:tcW w:w="901" w:type="pct"/>
            <w:noWrap w:val="0"/>
            <w:vAlign w:val="center"/>
          </w:tcPr>
          <w:p w14:paraId="506C367F">
            <w:pPr>
              <w:keepNext w:val="0"/>
              <w:keepLines w:val="0"/>
              <w:pageBreakBefore w:val="0"/>
              <w:widowControl/>
              <w:spacing w:line="30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rPr>
              <w:t>食品经营者</w:t>
            </w:r>
            <w:r>
              <w:rPr>
                <w:rStyle w:val="185"/>
                <w:rFonts w:hint="eastAsia" w:ascii="Times New Roman" w:hAnsi="Times New Roman" w:eastAsia="仿宋_GB2312" w:cs="仿宋_GB2312"/>
                <w:b w:val="0"/>
                <w:bCs w:val="0"/>
                <w:color w:val="auto"/>
                <w:sz w:val="21"/>
                <w:szCs w:val="21"/>
                <w:highlight w:val="none"/>
                <w:lang w:eastAsia="zh-CN"/>
              </w:rPr>
              <w:t>未按</w:t>
            </w:r>
            <w:r>
              <w:rPr>
                <w:rStyle w:val="185"/>
                <w:rFonts w:hint="eastAsia" w:ascii="Times New Roman" w:hAnsi="Times New Roman" w:eastAsia="仿宋_GB2312" w:cs="仿宋_GB2312"/>
                <w:b w:val="0"/>
                <w:bCs w:val="0"/>
                <w:color w:val="auto"/>
                <w:sz w:val="21"/>
                <w:szCs w:val="21"/>
                <w:highlight w:val="none"/>
                <w:lang w:val="en-US" w:eastAsia="zh-CN"/>
              </w:rPr>
              <w:t>规定在散装食品的容器、外包装上标明食品名称等内容，或未按照</w:t>
            </w:r>
            <w:r>
              <w:rPr>
                <w:rStyle w:val="185"/>
                <w:rFonts w:hint="eastAsia" w:ascii="Times New Roman" w:hAnsi="Times New Roman" w:eastAsia="仿宋_GB2312" w:cs="仿宋_GB2312"/>
                <w:b w:val="0"/>
                <w:bCs w:val="0"/>
                <w:color w:val="auto"/>
                <w:sz w:val="21"/>
                <w:szCs w:val="21"/>
                <w:highlight w:val="none"/>
                <w:lang w:eastAsia="zh-CN"/>
              </w:rPr>
              <w:t>标签标示的警示内容销售食品的</w:t>
            </w:r>
          </w:p>
        </w:tc>
        <w:tc>
          <w:tcPr>
            <w:tcW w:w="790" w:type="pct"/>
            <w:noWrap w:val="0"/>
            <w:vAlign w:val="center"/>
          </w:tcPr>
          <w:p w14:paraId="6344DA86">
            <w:pPr>
              <w:keepNext w:val="0"/>
              <w:keepLines w:val="0"/>
              <w:pageBreakBefore w:val="0"/>
              <w:widowControl/>
              <w:spacing w:line="300" w:lineRule="exact"/>
              <w:rPr>
                <w:rFonts w:hint="eastAsia" w:ascii="Times New Roman" w:hAnsi="Times New Roman" w:eastAsia="仿宋_GB2312" w:cs="仿宋_GB2312"/>
                <w:b w:val="0"/>
                <w:bCs w:val="0"/>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lang w:eastAsia="zh-CN"/>
              </w:rPr>
              <w:t>违法</w:t>
            </w:r>
            <w:r>
              <w:rPr>
                <w:rFonts w:hint="eastAsia" w:ascii="Times New Roman" w:hAnsi="Times New Roman" w:eastAsia="仿宋_GB2312" w:cs="仿宋_GB2312"/>
                <w:color w:val="auto"/>
                <w:sz w:val="21"/>
                <w:szCs w:val="21"/>
                <w:highlight w:val="none"/>
              </w:rPr>
              <w:t>情节轻微，没有造成</w:t>
            </w:r>
            <w:r>
              <w:rPr>
                <w:rFonts w:hint="eastAsia" w:ascii="Times New Roman" w:hAnsi="Times New Roman" w:eastAsia="仿宋_GB2312" w:cs="仿宋_GB2312"/>
                <w:color w:val="auto"/>
                <w:sz w:val="21"/>
                <w:szCs w:val="21"/>
                <w:highlight w:val="none"/>
                <w:lang w:eastAsia="zh-CN"/>
              </w:rPr>
              <w:t>食品安全事故等</w:t>
            </w:r>
            <w:r>
              <w:rPr>
                <w:rFonts w:hint="eastAsia" w:ascii="Times New Roman" w:hAnsi="Times New Roman" w:eastAsia="仿宋_GB2312" w:cs="仿宋_GB2312"/>
                <w:color w:val="auto"/>
                <w:sz w:val="21"/>
                <w:szCs w:val="21"/>
                <w:highlight w:val="none"/>
              </w:rPr>
              <w:t>危害后果，</w:t>
            </w:r>
            <w:r>
              <w:rPr>
                <w:rFonts w:hint="eastAsia" w:ascii="Times New Roman" w:hAnsi="Times New Roman" w:eastAsia="仿宋_GB2312" w:cs="仿宋_GB2312"/>
                <w:color w:val="auto"/>
                <w:sz w:val="21"/>
                <w:szCs w:val="21"/>
                <w:highlight w:val="none"/>
                <w:lang w:eastAsia="zh-CN"/>
              </w:rPr>
              <w:t>主动改正或在责令改正</w:t>
            </w:r>
            <w:r>
              <w:rPr>
                <w:rFonts w:hint="eastAsia" w:ascii="Times New Roman" w:hAnsi="Times New Roman" w:eastAsia="仿宋_GB2312" w:cs="仿宋_GB2312"/>
                <w:color w:val="auto"/>
                <w:sz w:val="21"/>
                <w:szCs w:val="21"/>
                <w:highlight w:val="none"/>
              </w:rPr>
              <w:t>期限内改正的</w:t>
            </w:r>
          </w:p>
        </w:tc>
        <w:tc>
          <w:tcPr>
            <w:tcW w:w="3000" w:type="pct"/>
            <w:noWrap w:val="0"/>
            <w:vAlign w:val="center"/>
          </w:tcPr>
          <w:p w14:paraId="4F0B3776">
            <w:pPr>
              <w:keepNext w:val="0"/>
              <w:keepLines w:val="0"/>
              <w:pageBreakBefore w:val="0"/>
              <w:widowControl/>
              <w:spacing w:line="320" w:lineRule="exact"/>
              <w:jc w:val="left"/>
              <w:rPr>
                <w:rStyle w:val="184"/>
                <w:rFonts w:hint="eastAsia" w:ascii="Times New Roman" w:hAnsi="Times New Roman" w:eastAsia="仿宋_GB2312" w:cs="仿宋_GB2312"/>
                <w:b w:val="0"/>
                <w:bCs w:val="0"/>
                <w:color w:val="auto"/>
                <w:sz w:val="21"/>
                <w:szCs w:val="21"/>
                <w:highlight w:val="none"/>
              </w:rPr>
            </w:pPr>
            <w:r>
              <w:rPr>
                <w:rStyle w:val="185"/>
                <w:rFonts w:hint="eastAsia" w:ascii="Times New Roman" w:hAnsi="Times New Roman" w:eastAsia="仿宋_GB2312" w:cs="仿宋_GB2312"/>
                <w:b/>
                <w:bCs/>
                <w:color w:val="auto"/>
                <w:sz w:val="21"/>
                <w:szCs w:val="21"/>
                <w:highlight w:val="none"/>
              </w:rPr>
              <w:t>《</w:t>
            </w:r>
            <w:r>
              <w:rPr>
                <w:rStyle w:val="184"/>
                <w:rFonts w:hint="eastAsia" w:ascii="Times New Roman" w:hAnsi="Times New Roman" w:eastAsia="仿宋_GB2312" w:cs="仿宋_GB2312"/>
                <w:b/>
                <w:bCs/>
                <w:color w:val="auto"/>
                <w:sz w:val="21"/>
                <w:szCs w:val="21"/>
                <w:highlight w:val="none"/>
              </w:rPr>
              <w:t>中华人民共和国</w:t>
            </w:r>
            <w:r>
              <w:rPr>
                <w:rStyle w:val="185"/>
                <w:rFonts w:hint="eastAsia" w:ascii="Times New Roman" w:hAnsi="Times New Roman" w:eastAsia="仿宋_GB2312" w:cs="仿宋_GB2312"/>
                <w:b/>
                <w:bCs/>
                <w:color w:val="auto"/>
                <w:sz w:val="21"/>
                <w:szCs w:val="21"/>
                <w:highlight w:val="none"/>
              </w:rPr>
              <w:t>食品安全法》</w:t>
            </w:r>
            <w:r>
              <w:rPr>
                <w:rStyle w:val="184"/>
                <w:rFonts w:hint="eastAsia" w:ascii="Times New Roman" w:hAnsi="Times New Roman" w:eastAsia="仿宋_GB2312" w:cs="仿宋_GB2312"/>
                <w:b w:val="0"/>
                <w:bCs w:val="0"/>
                <w:color w:val="auto"/>
                <w:sz w:val="21"/>
                <w:szCs w:val="21"/>
                <w:highlight w:val="none"/>
              </w:rPr>
              <w:t>第一百二十六条</w:t>
            </w:r>
            <w:r>
              <w:rPr>
                <w:rStyle w:val="185"/>
                <w:rFonts w:hint="eastAsia" w:ascii="Times New Roman" w:hAnsi="Times New Roman" w:eastAsia="仿宋_GB2312" w:cs="仿宋_GB2312"/>
                <w:b w:val="0"/>
                <w:bCs w:val="0"/>
                <w:color w:val="auto"/>
                <w:sz w:val="21"/>
                <w:szCs w:val="21"/>
                <w:highlight w:val="none"/>
                <w:lang w:eastAsia="zh-CN"/>
              </w:rPr>
              <w:t>第一款第（七）项</w:t>
            </w:r>
            <w:r>
              <w:rPr>
                <w:rStyle w:val="184"/>
                <w:rFonts w:hint="eastAsia"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rPr>
              <w:t>违反本法规定，有下列情形之一的，由县级以上人民政府食品安全监督管理部门责令改正，给予警告；拒不改正的，处五千元以上五万元以下罚款；情节严重的，责令停产停业，直至吊销许可证：（七）食品经营者未按规定要求销售食品；</w:t>
            </w:r>
          </w:p>
          <w:p w14:paraId="06F7B90F">
            <w:pPr>
              <w:keepNext w:val="0"/>
              <w:keepLines w:val="0"/>
              <w:pageBreakBefore w:val="0"/>
              <w:widowControl/>
              <w:spacing w:line="320" w:lineRule="exact"/>
              <w:jc w:val="left"/>
              <w:rPr>
                <w:rStyle w:val="184"/>
                <w:rFonts w:hint="eastAsia" w:ascii="Times New Roman" w:hAnsi="Times New Roman" w:eastAsia="仿宋_GB2312" w:cs="仿宋_GB2312"/>
                <w:b w:val="0"/>
                <w:bCs w:val="0"/>
                <w:color w:val="auto"/>
                <w:sz w:val="21"/>
                <w:szCs w:val="21"/>
                <w:highlight w:val="none"/>
                <w:lang w:val="en-US" w:eastAsia="zh-CN"/>
              </w:rPr>
            </w:pPr>
            <w:r>
              <w:rPr>
                <w:rStyle w:val="184"/>
                <w:rFonts w:hint="eastAsia" w:ascii="Times New Roman" w:hAnsi="Times New Roman" w:eastAsia="仿宋_GB2312" w:cs="仿宋_GB2312"/>
                <w:b w:val="0"/>
                <w:bCs w:val="0"/>
                <w:color w:val="auto"/>
                <w:sz w:val="21"/>
                <w:szCs w:val="21"/>
                <w:highlight w:val="none"/>
              </w:rPr>
              <w:t>第六十八条食品经营者销售散装食品，应当在散装食品的容器、外包装上标明食品的名称、生产日期或者生产批号、保质期以及生产经营者名称、地址、联系方式等内容。</w:t>
            </w:r>
            <w:r>
              <w:rPr>
                <w:rStyle w:val="184"/>
                <w:rFonts w:hint="eastAsia" w:ascii="Times New Roman" w:hAnsi="Times New Roman" w:eastAsia="仿宋_GB2312" w:cs="仿宋_GB2312"/>
                <w:b w:val="0"/>
                <w:bCs w:val="0"/>
                <w:color w:val="auto"/>
                <w:sz w:val="21"/>
                <w:szCs w:val="21"/>
                <w:highlight w:val="none"/>
                <w:lang w:val="en-US" w:eastAsia="zh-CN"/>
              </w:rPr>
              <w:t>第七十二条</w:t>
            </w:r>
            <w:r>
              <w:rPr>
                <w:rStyle w:val="184"/>
                <w:rFonts w:hint="eastAsia"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lang w:val="en-US" w:eastAsia="zh-CN"/>
              </w:rPr>
              <w:t>食品经营者应当按照食品标签标示的警示标志、警示说明或者注意事项的要求销售食品。</w:t>
            </w:r>
          </w:p>
        </w:tc>
      </w:tr>
      <w:tr w14:paraId="4BB6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8" w:hRule="atLeast"/>
          <w:jc w:val="center"/>
        </w:trPr>
        <w:tc>
          <w:tcPr>
            <w:tcW w:w="307" w:type="pct"/>
            <w:noWrap w:val="0"/>
            <w:vAlign w:val="center"/>
          </w:tcPr>
          <w:p w14:paraId="4508A705">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33</w:t>
            </w:r>
          </w:p>
        </w:tc>
        <w:tc>
          <w:tcPr>
            <w:tcW w:w="901" w:type="pct"/>
            <w:noWrap w:val="0"/>
            <w:vAlign w:val="center"/>
          </w:tcPr>
          <w:p w14:paraId="144CA5B9">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Fonts w:hint="eastAsia" w:ascii="Times New Roman" w:hAnsi="Times New Roman" w:eastAsia="仿宋_GB2312" w:cs="仿宋_GB2312"/>
                <w:b w:val="0"/>
                <w:bCs w:val="0"/>
                <w:color w:val="auto"/>
                <w:sz w:val="21"/>
                <w:szCs w:val="21"/>
                <w:highlight w:val="none"/>
                <w:u w:val="none"/>
                <w:lang w:val="en-US" w:eastAsia="zh-CN" w:bidi="ar-SA"/>
              </w:rPr>
              <w:t>保健食品、婴幼儿配方食品未按规定备案，或未按备案的内容要求组织生产的</w:t>
            </w:r>
          </w:p>
        </w:tc>
        <w:tc>
          <w:tcPr>
            <w:tcW w:w="790" w:type="pct"/>
            <w:noWrap w:val="0"/>
            <w:vAlign w:val="center"/>
          </w:tcPr>
          <w:p w14:paraId="5B36FF5D">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lang w:val="en-US" w:eastAsia="zh-CN" w:bidi="ar-SA"/>
              </w:rPr>
            </w:pPr>
            <w:r>
              <w:rPr>
                <w:rFonts w:hint="eastAsia" w:ascii="Times New Roman" w:hAnsi="Times New Roman" w:eastAsia="仿宋_GB2312" w:cs="仿宋_GB2312"/>
                <w:b w:val="0"/>
                <w:bCs w:val="0"/>
                <w:color w:val="auto"/>
                <w:sz w:val="21"/>
                <w:szCs w:val="21"/>
                <w:highlight w:val="none"/>
                <w:lang w:eastAsia="zh-CN"/>
              </w:rPr>
              <w:t>属于首次违法，未造成食品安全事故等危害后果，主动改正或在责令改正期限内改正的</w:t>
            </w:r>
          </w:p>
        </w:tc>
        <w:tc>
          <w:tcPr>
            <w:tcW w:w="3000" w:type="pct"/>
            <w:noWrap w:val="0"/>
            <w:vAlign w:val="center"/>
          </w:tcPr>
          <w:p w14:paraId="26B6D707">
            <w:pPr>
              <w:keepNext w:val="0"/>
              <w:keepLines w:val="0"/>
              <w:pageBreakBefore w:val="0"/>
              <w:widowControl/>
              <w:spacing w:line="280" w:lineRule="exact"/>
              <w:jc w:val="both"/>
              <w:rPr>
                <w:rStyle w:val="184"/>
                <w:rFonts w:hint="eastAsia" w:ascii="Times New Roman" w:hAnsi="Times New Roman" w:eastAsia="仿宋_GB2312" w:cs="仿宋_GB2312"/>
                <w:b w:val="0"/>
                <w:bCs w:val="0"/>
                <w:i w:val="0"/>
                <w:iCs w:val="0"/>
                <w:color w:val="auto"/>
                <w:sz w:val="21"/>
                <w:szCs w:val="21"/>
                <w:highlight w:val="none"/>
              </w:rPr>
            </w:pPr>
            <w:r>
              <w:rPr>
                <w:rStyle w:val="184"/>
                <w:rFonts w:hint="eastAsia" w:ascii="Times New Roman" w:hAnsi="Times New Roman" w:eastAsia="仿宋_GB2312" w:cs="仿宋_GB2312"/>
                <w:b/>
                <w:bCs/>
                <w:color w:val="auto"/>
                <w:sz w:val="21"/>
                <w:szCs w:val="21"/>
                <w:highlight w:val="none"/>
                <w:lang w:eastAsia="zh-CN"/>
              </w:rPr>
              <w:t>《</w:t>
            </w:r>
            <w:r>
              <w:rPr>
                <w:rStyle w:val="184"/>
                <w:rFonts w:hint="eastAsia" w:ascii="Times New Roman" w:hAnsi="Times New Roman" w:eastAsia="仿宋_GB2312" w:cs="仿宋_GB2312"/>
                <w:b/>
                <w:bCs/>
                <w:color w:val="auto"/>
                <w:sz w:val="21"/>
                <w:szCs w:val="21"/>
                <w:highlight w:val="none"/>
              </w:rPr>
              <w:t>中华人民共和国</w:t>
            </w:r>
            <w:r>
              <w:rPr>
                <w:rStyle w:val="185"/>
                <w:rFonts w:hint="eastAsia" w:ascii="Times New Roman" w:hAnsi="Times New Roman" w:eastAsia="仿宋_GB2312" w:cs="仿宋_GB2312"/>
                <w:b/>
                <w:bCs/>
                <w:color w:val="auto"/>
                <w:sz w:val="21"/>
                <w:szCs w:val="21"/>
                <w:highlight w:val="none"/>
              </w:rPr>
              <w:t>食</w:t>
            </w:r>
            <w:r>
              <w:rPr>
                <w:rStyle w:val="185"/>
                <w:rFonts w:hint="eastAsia" w:ascii="Times New Roman" w:hAnsi="Times New Roman" w:eastAsia="仿宋_GB2312" w:cs="仿宋_GB2312"/>
                <w:b/>
                <w:bCs/>
                <w:i w:val="0"/>
                <w:iCs w:val="0"/>
                <w:color w:val="auto"/>
                <w:sz w:val="21"/>
                <w:szCs w:val="21"/>
                <w:highlight w:val="none"/>
              </w:rPr>
              <w:t>品安全法》</w:t>
            </w:r>
            <w:r>
              <w:rPr>
                <w:rStyle w:val="184"/>
                <w:rFonts w:hint="eastAsia" w:ascii="Times New Roman" w:hAnsi="Times New Roman" w:eastAsia="仿宋_GB2312" w:cs="仿宋_GB2312"/>
                <w:b w:val="0"/>
                <w:bCs w:val="0"/>
                <w:i w:val="0"/>
                <w:iCs w:val="0"/>
                <w:color w:val="auto"/>
                <w:sz w:val="21"/>
                <w:szCs w:val="21"/>
                <w:highlight w:val="none"/>
              </w:rPr>
              <w:t>第一百二十六条</w:t>
            </w:r>
            <w:r>
              <w:rPr>
                <w:rStyle w:val="185"/>
                <w:rFonts w:hint="eastAsia" w:ascii="Times New Roman" w:hAnsi="Times New Roman" w:eastAsia="仿宋_GB2312" w:cs="仿宋_GB2312"/>
                <w:b w:val="0"/>
                <w:bCs w:val="0"/>
                <w:i w:val="0"/>
                <w:iCs w:val="0"/>
                <w:color w:val="auto"/>
                <w:sz w:val="21"/>
                <w:szCs w:val="21"/>
                <w:highlight w:val="none"/>
                <w:lang w:eastAsia="zh-CN"/>
              </w:rPr>
              <w:t>第一款第（八）项第（九）项</w:t>
            </w:r>
            <w:r>
              <w:rPr>
                <w:rStyle w:val="184"/>
                <w:rFonts w:hint="eastAsia" w:eastAsia="仿宋_GB2312" w:cs="仿宋_GB2312"/>
                <w:b w:val="0"/>
                <w:bCs w:val="0"/>
                <w:i w:val="0"/>
                <w:i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i w:val="0"/>
                <w:iCs w:val="0"/>
                <w:color w:val="auto"/>
                <w:sz w:val="21"/>
                <w:szCs w:val="21"/>
                <w:highlight w:val="none"/>
              </w:rPr>
              <w:t>违反本法规定，有下列情形之一的，由县级以上人民政府食品安全监督管理部门责令改正，给予警告；拒不改正的，处五千元以上五万元以下罚款；情节严重的，责令停产停业，直至吊销许可证：（八）保健食品生产企业未按规定向食品安全监督管理部门备案，或者未按备案的产品配方、生产工艺等技术要求组织生产；（九）婴幼儿配方食品生产企业未将食品原料、食品添加剂、产品配方、标签等向食品安全监督管理部门备案；</w:t>
            </w:r>
          </w:p>
          <w:p w14:paraId="7DB367B2">
            <w:pPr>
              <w:keepNext w:val="0"/>
              <w:keepLines w:val="0"/>
              <w:pageBreakBefore w:val="0"/>
              <w:widowControl/>
              <w:spacing w:line="280" w:lineRule="exact"/>
              <w:jc w:val="both"/>
              <w:rPr>
                <w:rStyle w:val="184"/>
                <w:rFonts w:hint="eastAsia" w:ascii="Times New Roman" w:hAnsi="Times New Roman" w:eastAsia="仿宋_GB2312" w:cs="仿宋_GB2312"/>
                <w:color w:val="auto"/>
                <w:sz w:val="21"/>
                <w:szCs w:val="21"/>
                <w:highlight w:val="none"/>
                <w:lang w:val="en-US" w:eastAsia="zh-CN"/>
              </w:rPr>
            </w:pPr>
            <w:r>
              <w:rPr>
                <w:rStyle w:val="184"/>
                <w:rFonts w:hint="eastAsia" w:ascii="Times New Roman" w:hAnsi="Times New Roman" w:eastAsia="仿宋_GB2312" w:cs="仿宋_GB2312"/>
                <w:b w:val="0"/>
                <w:bCs w:val="0"/>
                <w:color w:val="auto"/>
                <w:sz w:val="21"/>
                <w:szCs w:val="21"/>
                <w:highlight w:val="none"/>
              </w:rPr>
              <w:t>第七十六条</w:t>
            </w:r>
            <w:r>
              <w:rPr>
                <w:rStyle w:val="184"/>
                <w:rFonts w:hint="eastAsia"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rPr>
              <w:t>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r>
              <w:rPr>
                <w:rStyle w:val="184"/>
                <w:rFonts w:hint="eastAsia" w:ascii="Times New Roman" w:hAnsi="Times New Roman" w:eastAsia="仿宋_GB2312" w:cs="仿宋_GB2312"/>
                <w:b w:val="0"/>
                <w:bCs w:val="0"/>
                <w:color w:val="auto"/>
                <w:sz w:val="21"/>
                <w:szCs w:val="21"/>
                <w:highlight w:val="none"/>
                <w:lang w:eastAsia="zh-CN"/>
              </w:rPr>
              <w:t>第八十一条第三款</w:t>
            </w:r>
            <w:r>
              <w:rPr>
                <w:rStyle w:val="184"/>
                <w:rFonts w:hint="eastAsia" w:ascii="Times New Roman" w:hAnsi="Times New Roman" w:eastAsia="仿宋_GB2312" w:cs="仿宋_GB2312"/>
                <w:b w:val="0"/>
                <w:bCs w:val="0"/>
                <w:color w:val="auto"/>
                <w:sz w:val="21"/>
                <w:szCs w:val="21"/>
                <w:highlight w:val="none"/>
                <w:lang w:val="en-US" w:eastAsia="zh-CN"/>
              </w:rPr>
              <w:t xml:space="preserve"> </w:t>
            </w:r>
            <w:r>
              <w:rPr>
                <w:rStyle w:val="184"/>
                <w:rFonts w:hint="eastAsia"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lang w:val="en-US" w:eastAsia="zh-CN"/>
              </w:rPr>
              <w:t>婴幼儿配方食品生产企业应当将食品原料、食品添加剂、产品配方及标签等事项向省、自治区、直辖市人民政府食品安全监督管理部门备案。第八十二条第三款 保健食品、特殊医学用途配方食品、婴幼儿配方乳粉生产企业应当按照注册或者备案的产品配方、生产工艺等技术要求组织生产。</w:t>
            </w:r>
          </w:p>
        </w:tc>
      </w:tr>
      <w:tr w14:paraId="7898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jc w:val="center"/>
        </w:trPr>
        <w:tc>
          <w:tcPr>
            <w:tcW w:w="307" w:type="pct"/>
            <w:noWrap w:val="0"/>
            <w:vAlign w:val="center"/>
          </w:tcPr>
          <w:p w14:paraId="6C287883">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b w:val="0"/>
                <w:bCs w:val="0"/>
                <w:color w:val="auto"/>
                <w:sz w:val="21"/>
                <w:szCs w:val="21"/>
                <w:highlight w:val="none"/>
                <w:lang w:val="en-US" w:eastAsia="zh-CN" w:bidi="ar-SA"/>
              </w:rPr>
              <w:t>34</w:t>
            </w:r>
          </w:p>
        </w:tc>
        <w:tc>
          <w:tcPr>
            <w:tcW w:w="901" w:type="pct"/>
            <w:noWrap w:val="0"/>
            <w:vAlign w:val="center"/>
          </w:tcPr>
          <w:p w14:paraId="5FEE1C97">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rPr>
              <w:t>特殊食品</w:t>
            </w:r>
            <w:r>
              <w:rPr>
                <w:rStyle w:val="185"/>
                <w:rFonts w:hint="eastAsia" w:ascii="Times New Roman" w:hAnsi="Times New Roman" w:eastAsia="仿宋_GB2312" w:cs="仿宋_GB2312"/>
                <w:b w:val="0"/>
                <w:bCs w:val="0"/>
                <w:color w:val="auto"/>
                <w:sz w:val="21"/>
                <w:szCs w:val="21"/>
                <w:highlight w:val="none"/>
                <w:lang w:eastAsia="zh-CN"/>
              </w:rPr>
              <w:t>生产</w:t>
            </w:r>
            <w:r>
              <w:rPr>
                <w:rStyle w:val="185"/>
                <w:rFonts w:hint="eastAsia" w:ascii="Times New Roman" w:hAnsi="Times New Roman" w:eastAsia="仿宋_GB2312" w:cs="仿宋_GB2312"/>
                <w:b w:val="0"/>
                <w:bCs w:val="0"/>
                <w:color w:val="auto"/>
                <w:sz w:val="21"/>
                <w:szCs w:val="21"/>
                <w:highlight w:val="none"/>
              </w:rPr>
              <w:t>企业未按规定建立生产质量管理体系并有效运行，或者未定期提交自查报告</w:t>
            </w:r>
            <w:r>
              <w:rPr>
                <w:rStyle w:val="185"/>
                <w:rFonts w:hint="eastAsia" w:ascii="Times New Roman" w:hAnsi="Times New Roman" w:eastAsia="仿宋_GB2312" w:cs="仿宋_GB2312"/>
                <w:b w:val="0"/>
                <w:bCs w:val="0"/>
                <w:color w:val="auto"/>
                <w:sz w:val="21"/>
                <w:szCs w:val="21"/>
                <w:highlight w:val="none"/>
                <w:lang w:eastAsia="zh-CN"/>
              </w:rPr>
              <w:t>的</w:t>
            </w:r>
          </w:p>
        </w:tc>
        <w:tc>
          <w:tcPr>
            <w:tcW w:w="790" w:type="pct"/>
            <w:noWrap w:val="0"/>
            <w:vAlign w:val="center"/>
          </w:tcPr>
          <w:p w14:paraId="299D4CDA">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lang w:val="en-US" w:eastAsia="zh-CN" w:bidi="ar-SA"/>
              </w:rPr>
            </w:pPr>
            <w:r>
              <w:rPr>
                <w:rFonts w:hint="eastAsia" w:ascii="Times New Roman" w:hAnsi="Times New Roman" w:eastAsia="仿宋_GB2312" w:cs="仿宋_GB2312"/>
                <w:b w:val="0"/>
                <w:bCs w:val="0"/>
                <w:color w:val="auto"/>
                <w:sz w:val="21"/>
                <w:szCs w:val="21"/>
                <w:highlight w:val="none"/>
                <w:lang w:eastAsia="zh-CN"/>
              </w:rPr>
              <w:t>属于首次违法，未造成食品安全事故等危害后果，主动改正或在责令改正期限内改正的</w:t>
            </w:r>
          </w:p>
        </w:tc>
        <w:tc>
          <w:tcPr>
            <w:tcW w:w="3000" w:type="pct"/>
            <w:noWrap w:val="0"/>
            <w:vAlign w:val="center"/>
          </w:tcPr>
          <w:p w14:paraId="634DE624">
            <w:pPr>
              <w:keepNext w:val="0"/>
              <w:keepLines w:val="0"/>
              <w:pageBreakBefore w:val="0"/>
              <w:widowControl/>
              <w:spacing w:line="280" w:lineRule="exact"/>
              <w:jc w:val="left"/>
              <w:rPr>
                <w:rFonts w:hint="eastAsia" w:ascii="Times New Roman" w:hAnsi="Times New Roman" w:eastAsia="仿宋_GB2312" w:cs="仿宋_GB2312"/>
                <w:b/>
                <w:bCs/>
                <w:color w:val="auto"/>
                <w:sz w:val="21"/>
                <w:szCs w:val="21"/>
                <w:highlight w:val="none"/>
                <w:u w:val="none"/>
                <w:lang w:val="en-US" w:eastAsia="zh-CN" w:bidi="ar-SA"/>
              </w:rPr>
            </w:pPr>
            <w:r>
              <w:rPr>
                <w:rStyle w:val="184"/>
                <w:rFonts w:hint="eastAsia" w:ascii="Times New Roman" w:hAnsi="Times New Roman" w:eastAsia="仿宋_GB2312" w:cs="仿宋_GB2312"/>
                <w:b/>
                <w:bCs/>
                <w:color w:val="auto"/>
                <w:sz w:val="21"/>
                <w:szCs w:val="21"/>
                <w:highlight w:val="none"/>
                <w:lang w:eastAsia="zh-CN"/>
              </w:rPr>
              <w:t>《</w:t>
            </w:r>
            <w:r>
              <w:rPr>
                <w:rStyle w:val="184"/>
                <w:rFonts w:hint="eastAsia" w:ascii="Times New Roman" w:hAnsi="Times New Roman" w:eastAsia="仿宋_GB2312" w:cs="仿宋_GB2312"/>
                <w:b/>
                <w:bCs/>
                <w:color w:val="auto"/>
                <w:sz w:val="21"/>
                <w:szCs w:val="21"/>
                <w:highlight w:val="none"/>
              </w:rPr>
              <w:t>中华人民共和国</w:t>
            </w:r>
            <w:r>
              <w:rPr>
                <w:rStyle w:val="185"/>
                <w:rFonts w:hint="eastAsia" w:ascii="Times New Roman" w:hAnsi="Times New Roman" w:eastAsia="仿宋_GB2312" w:cs="仿宋_GB2312"/>
                <w:b/>
                <w:bCs/>
                <w:color w:val="auto"/>
                <w:sz w:val="21"/>
                <w:szCs w:val="21"/>
                <w:highlight w:val="none"/>
              </w:rPr>
              <w:t>食品安全法》</w:t>
            </w:r>
            <w:r>
              <w:rPr>
                <w:rStyle w:val="184"/>
                <w:rFonts w:hint="eastAsia" w:ascii="Times New Roman" w:hAnsi="Times New Roman" w:eastAsia="仿宋_GB2312" w:cs="仿宋_GB2312"/>
                <w:b w:val="0"/>
                <w:bCs w:val="0"/>
                <w:color w:val="auto"/>
                <w:sz w:val="21"/>
                <w:szCs w:val="21"/>
                <w:highlight w:val="none"/>
              </w:rPr>
              <w:t>第一百二十六条</w:t>
            </w:r>
            <w:r>
              <w:rPr>
                <w:rStyle w:val="185"/>
                <w:rFonts w:hint="eastAsia" w:ascii="Times New Roman" w:hAnsi="Times New Roman" w:eastAsia="仿宋_GB2312" w:cs="仿宋_GB2312"/>
                <w:b w:val="0"/>
                <w:bCs w:val="0"/>
                <w:color w:val="auto"/>
                <w:sz w:val="21"/>
                <w:szCs w:val="21"/>
                <w:highlight w:val="none"/>
                <w:lang w:eastAsia="zh-CN"/>
              </w:rPr>
              <w:t>第一款第（十）项</w:t>
            </w:r>
            <w:r>
              <w:rPr>
                <w:rStyle w:val="184"/>
                <w:rFonts w:hint="eastAsia"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rPr>
              <w:t>违反本法规定，有下列情形之一的，由县级以上人民政府食品安全监督管理部门责令改正，给予警告；拒不改正的，处五千元以上五万元以下罚款；情节严重的，责令停产停业，直至吊销许可证：（十）特殊食品生产企业未按规定建立生产质量管理体系并有效运行，或者未定期提交自查报告；</w:t>
            </w:r>
          </w:p>
        </w:tc>
      </w:tr>
      <w:tr w14:paraId="3300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307" w:type="pct"/>
            <w:noWrap w:val="0"/>
            <w:vAlign w:val="center"/>
          </w:tcPr>
          <w:p w14:paraId="5B2AC25B">
            <w:pPr>
              <w:widowControl/>
              <w:spacing w:line="280" w:lineRule="exact"/>
              <w:jc w:val="center"/>
              <w:rPr>
                <w:rFonts w:hint="eastAsia" w:ascii="Times New Roman" w:hAnsi="Times New Roman" w:eastAsia="仿宋" w:cs="仿宋"/>
                <w:color w:val="auto"/>
                <w:sz w:val="21"/>
                <w:szCs w:val="21"/>
                <w:highlight w:val="none"/>
              </w:rPr>
            </w:pPr>
            <w:r>
              <w:rPr>
                <w:rStyle w:val="184"/>
                <w:rFonts w:hint="eastAsia" w:ascii="Times New Roman" w:hAnsi="Times New Roman" w:eastAsia="仿宋" w:cs="仿宋"/>
                <w:b w:val="0"/>
                <w:bCs w:val="0"/>
                <w:color w:val="auto"/>
                <w:sz w:val="21"/>
                <w:szCs w:val="21"/>
                <w:highlight w:val="none"/>
              </w:rPr>
              <w:t>35</w:t>
            </w:r>
          </w:p>
        </w:tc>
        <w:tc>
          <w:tcPr>
            <w:tcW w:w="901" w:type="pct"/>
            <w:noWrap w:val="0"/>
            <w:vAlign w:val="center"/>
          </w:tcPr>
          <w:p w14:paraId="77FE6AE2">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rPr>
              <w:t>食品生产经营者未定期对食品安全状况进行检查评价，或者生产经营条件发生变化，未按规定处理</w:t>
            </w:r>
            <w:r>
              <w:rPr>
                <w:rStyle w:val="185"/>
                <w:rFonts w:hint="eastAsia" w:ascii="Times New Roman" w:hAnsi="Times New Roman" w:eastAsia="仿宋_GB2312" w:cs="仿宋_GB2312"/>
                <w:b w:val="0"/>
                <w:bCs w:val="0"/>
                <w:color w:val="auto"/>
                <w:sz w:val="21"/>
                <w:szCs w:val="21"/>
                <w:highlight w:val="none"/>
                <w:lang w:eastAsia="zh-CN"/>
              </w:rPr>
              <w:t>的</w:t>
            </w:r>
          </w:p>
        </w:tc>
        <w:tc>
          <w:tcPr>
            <w:tcW w:w="790" w:type="pct"/>
            <w:noWrap w:val="0"/>
            <w:vAlign w:val="center"/>
          </w:tcPr>
          <w:p w14:paraId="566AA38A">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lang w:val="en-US" w:eastAsia="zh-CN" w:bidi="ar-SA"/>
              </w:rPr>
            </w:pPr>
            <w:r>
              <w:rPr>
                <w:rFonts w:hint="eastAsia" w:ascii="Times New Roman" w:hAnsi="Times New Roman" w:eastAsia="仿宋_GB2312" w:cs="仿宋_GB2312"/>
                <w:b w:val="0"/>
                <w:bCs w:val="0"/>
                <w:color w:val="auto"/>
                <w:sz w:val="21"/>
                <w:szCs w:val="21"/>
                <w:highlight w:val="none"/>
                <w:lang w:eastAsia="zh-CN"/>
              </w:rPr>
              <w:t>属于首次违法，未造成食品安全事故等危害后果，主动改正或在责令改正期限内改正的</w:t>
            </w:r>
          </w:p>
        </w:tc>
        <w:tc>
          <w:tcPr>
            <w:tcW w:w="3000" w:type="pct"/>
            <w:noWrap w:val="0"/>
            <w:vAlign w:val="center"/>
          </w:tcPr>
          <w:p w14:paraId="43485162">
            <w:pPr>
              <w:keepNext w:val="0"/>
              <w:keepLines w:val="0"/>
              <w:pageBreakBefore w:val="0"/>
              <w:widowControl/>
              <w:spacing w:line="280" w:lineRule="exact"/>
              <w:jc w:val="left"/>
              <w:rPr>
                <w:rFonts w:hint="eastAsia" w:ascii="Times New Roman" w:hAnsi="Times New Roman" w:eastAsia="仿宋_GB2312" w:cs="仿宋_GB2312"/>
                <w:b/>
                <w:bCs/>
                <w:color w:val="auto"/>
                <w:sz w:val="21"/>
                <w:szCs w:val="21"/>
                <w:highlight w:val="none"/>
                <w:u w:val="none"/>
                <w:lang w:val="en-US" w:eastAsia="zh-CN" w:bidi="ar-SA"/>
              </w:rPr>
            </w:pPr>
            <w:r>
              <w:rPr>
                <w:rStyle w:val="184"/>
                <w:rFonts w:hint="eastAsia" w:ascii="Times New Roman" w:hAnsi="Times New Roman" w:eastAsia="仿宋_GB2312" w:cs="仿宋_GB2312"/>
                <w:b/>
                <w:bCs/>
                <w:color w:val="auto"/>
                <w:sz w:val="21"/>
                <w:szCs w:val="21"/>
                <w:highlight w:val="none"/>
                <w:lang w:eastAsia="zh-CN"/>
              </w:rPr>
              <w:t>《</w:t>
            </w:r>
            <w:r>
              <w:rPr>
                <w:rStyle w:val="184"/>
                <w:rFonts w:hint="eastAsia" w:ascii="Times New Roman" w:hAnsi="Times New Roman" w:eastAsia="仿宋_GB2312" w:cs="仿宋_GB2312"/>
                <w:b/>
                <w:bCs/>
                <w:color w:val="auto"/>
                <w:sz w:val="21"/>
                <w:szCs w:val="21"/>
                <w:highlight w:val="none"/>
              </w:rPr>
              <w:t>中华人民共和国</w:t>
            </w:r>
            <w:r>
              <w:rPr>
                <w:rStyle w:val="185"/>
                <w:rFonts w:hint="eastAsia" w:ascii="Times New Roman" w:hAnsi="Times New Roman" w:eastAsia="仿宋_GB2312" w:cs="仿宋_GB2312"/>
                <w:b/>
                <w:bCs/>
                <w:color w:val="auto"/>
                <w:sz w:val="21"/>
                <w:szCs w:val="21"/>
                <w:highlight w:val="none"/>
              </w:rPr>
              <w:t>食品安全法》</w:t>
            </w:r>
            <w:r>
              <w:rPr>
                <w:rStyle w:val="184"/>
                <w:rFonts w:hint="eastAsia" w:ascii="Times New Roman" w:hAnsi="Times New Roman" w:eastAsia="仿宋_GB2312" w:cs="仿宋_GB2312"/>
                <w:b w:val="0"/>
                <w:bCs w:val="0"/>
                <w:color w:val="auto"/>
                <w:sz w:val="21"/>
                <w:szCs w:val="21"/>
                <w:highlight w:val="none"/>
              </w:rPr>
              <w:t>第一百二十六条</w:t>
            </w:r>
            <w:r>
              <w:rPr>
                <w:rStyle w:val="185"/>
                <w:rFonts w:hint="eastAsia" w:ascii="Times New Roman" w:hAnsi="Times New Roman" w:eastAsia="仿宋_GB2312" w:cs="仿宋_GB2312"/>
                <w:b w:val="0"/>
                <w:bCs w:val="0"/>
                <w:color w:val="auto"/>
                <w:sz w:val="21"/>
                <w:szCs w:val="21"/>
                <w:highlight w:val="none"/>
                <w:lang w:eastAsia="zh-CN"/>
              </w:rPr>
              <w:t>第一款第（十一）项</w:t>
            </w:r>
            <w:r>
              <w:rPr>
                <w:rStyle w:val="184"/>
                <w:rFonts w:hint="eastAsia"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rPr>
              <w:t>违反本法规定，有下列情形之一的，由县级以上人民政府食品安全监督管理部门责令改正，给予警告；拒不改正的，处五千元以上五万元以下罚款；情节严重的，责令停产停业，直至吊销许可证：（十一）食品生产经营者未定期对食品安全状况进行检查评价，或者生产经营条件发生变化，未按规定处理；</w:t>
            </w:r>
          </w:p>
        </w:tc>
      </w:tr>
      <w:tr w14:paraId="4EE4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1" w:hRule="atLeast"/>
          <w:jc w:val="center"/>
        </w:trPr>
        <w:tc>
          <w:tcPr>
            <w:tcW w:w="307" w:type="pct"/>
            <w:noWrap w:val="0"/>
            <w:vAlign w:val="center"/>
          </w:tcPr>
          <w:p w14:paraId="21145C16">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36</w:t>
            </w:r>
          </w:p>
        </w:tc>
        <w:tc>
          <w:tcPr>
            <w:tcW w:w="901" w:type="pct"/>
            <w:noWrap w:val="0"/>
            <w:vAlign w:val="center"/>
          </w:tcPr>
          <w:p w14:paraId="3259B520">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rPr>
              <w:t>学校、托幼机构、养老机构、建筑工地等集中用餐单位未按规定履行食品安全管理责任</w:t>
            </w:r>
            <w:r>
              <w:rPr>
                <w:rStyle w:val="185"/>
                <w:rFonts w:hint="eastAsia" w:ascii="Times New Roman" w:hAnsi="Times New Roman" w:eastAsia="仿宋_GB2312" w:cs="仿宋_GB2312"/>
                <w:b w:val="0"/>
                <w:bCs w:val="0"/>
                <w:color w:val="auto"/>
                <w:sz w:val="21"/>
                <w:szCs w:val="21"/>
                <w:highlight w:val="none"/>
                <w:lang w:eastAsia="zh-CN"/>
              </w:rPr>
              <w:t>的</w:t>
            </w:r>
          </w:p>
        </w:tc>
        <w:tc>
          <w:tcPr>
            <w:tcW w:w="790" w:type="pct"/>
            <w:noWrap w:val="0"/>
            <w:vAlign w:val="center"/>
          </w:tcPr>
          <w:p w14:paraId="56E0DAEF">
            <w:pPr>
              <w:keepNext w:val="0"/>
              <w:keepLines w:val="0"/>
              <w:pageBreakBefore w:val="0"/>
              <w:widowControl/>
              <w:spacing w:line="280" w:lineRule="exact"/>
              <w:rPr>
                <w:rFonts w:hint="eastAsia" w:ascii="Times New Roman" w:hAnsi="Times New Roman" w:eastAsia="仿宋_GB2312" w:cs="仿宋_GB2312"/>
                <w:b w:val="0"/>
                <w:bCs w:val="0"/>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lang w:eastAsia="zh-CN"/>
              </w:rPr>
              <w:t>违法</w:t>
            </w:r>
            <w:r>
              <w:rPr>
                <w:rFonts w:hint="eastAsia" w:ascii="Times New Roman" w:hAnsi="Times New Roman" w:eastAsia="仿宋_GB2312" w:cs="仿宋_GB2312"/>
                <w:color w:val="auto"/>
                <w:sz w:val="21"/>
                <w:szCs w:val="21"/>
                <w:highlight w:val="none"/>
              </w:rPr>
              <w:t>情节轻微，没有造成</w:t>
            </w:r>
            <w:r>
              <w:rPr>
                <w:rFonts w:hint="eastAsia" w:ascii="Times New Roman" w:hAnsi="Times New Roman" w:eastAsia="仿宋_GB2312" w:cs="仿宋_GB2312"/>
                <w:color w:val="auto"/>
                <w:sz w:val="21"/>
                <w:szCs w:val="21"/>
                <w:highlight w:val="none"/>
                <w:lang w:eastAsia="zh-CN"/>
              </w:rPr>
              <w:t>食品安全事故等</w:t>
            </w:r>
            <w:r>
              <w:rPr>
                <w:rFonts w:hint="eastAsia" w:ascii="Times New Roman" w:hAnsi="Times New Roman" w:eastAsia="仿宋_GB2312" w:cs="仿宋_GB2312"/>
                <w:color w:val="auto"/>
                <w:sz w:val="21"/>
                <w:szCs w:val="21"/>
                <w:highlight w:val="none"/>
              </w:rPr>
              <w:t>危害后果，</w:t>
            </w:r>
            <w:r>
              <w:rPr>
                <w:rFonts w:hint="eastAsia" w:ascii="Times New Roman" w:hAnsi="Times New Roman" w:eastAsia="仿宋_GB2312" w:cs="仿宋_GB2312"/>
                <w:color w:val="auto"/>
                <w:sz w:val="21"/>
                <w:szCs w:val="21"/>
                <w:highlight w:val="none"/>
                <w:lang w:eastAsia="zh-CN"/>
              </w:rPr>
              <w:t>主动改正或在责令改正</w:t>
            </w:r>
            <w:r>
              <w:rPr>
                <w:rFonts w:hint="eastAsia" w:ascii="Times New Roman" w:hAnsi="Times New Roman" w:eastAsia="仿宋_GB2312" w:cs="仿宋_GB2312"/>
                <w:color w:val="auto"/>
                <w:sz w:val="21"/>
                <w:szCs w:val="21"/>
                <w:highlight w:val="none"/>
              </w:rPr>
              <w:t>期限内改正的</w:t>
            </w:r>
          </w:p>
        </w:tc>
        <w:tc>
          <w:tcPr>
            <w:tcW w:w="3000" w:type="pct"/>
            <w:noWrap w:val="0"/>
            <w:vAlign w:val="center"/>
          </w:tcPr>
          <w:p w14:paraId="24CFD735">
            <w:pPr>
              <w:keepNext w:val="0"/>
              <w:keepLines w:val="0"/>
              <w:pageBreakBefore w:val="0"/>
              <w:widowControl/>
              <w:spacing w:line="260" w:lineRule="exact"/>
              <w:jc w:val="both"/>
              <w:rPr>
                <w:rStyle w:val="184"/>
                <w:rFonts w:hint="eastAsia" w:ascii="Times New Roman" w:hAnsi="Times New Roman" w:eastAsia="仿宋_GB2312" w:cs="仿宋_GB2312"/>
                <w:b w:val="0"/>
                <w:bCs w:val="0"/>
                <w:color w:val="auto"/>
                <w:sz w:val="21"/>
                <w:szCs w:val="21"/>
                <w:highlight w:val="none"/>
              </w:rPr>
            </w:pPr>
            <w:r>
              <w:rPr>
                <w:rStyle w:val="184"/>
                <w:rFonts w:hint="eastAsia" w:ascii="Times New Roman" w:hAnsi="Times New Roman" w:eastAsia="仿宋_GB2312" w:cs="仿宋_GB2312"/>
                <w:b/>
                <w:bCs/>
                <w:color w:val="auto"/>
                <w:sz w:val="21"/>
                <w:szCs w:val="21"/>
                <w:highlight w:val="none"/>
                <w:lang w:eastAsia="zh-CN"/>
              </w:rPr>
              <w:t>《</w:t>
            </w:r>
            <w:r>
              <w:rPr>
                <w:rStyle w:val="184"/>
                <w:rFonts w:hint="eastAsia" w:ascii="Times New Roman" w:hAnsi="Times New Roman" w:eastAsia="仿宋_GB2312" w:cs="仿宋_GB2312"/>
                <w:b/>
                <w:bCs/>
                <w:color w:val="auto"/>
                <w:sz w:val="21"/>
                <w:szCs w:val="21"/>
                <w:highlight w:val="none"/>
              </w:rPr>
              <w:t>中华人民共和国</w:t>
            </w:r>
            <w:r>
              <w:rPr>
                <w:rStyle w:val="185"/>
                <w:rFonts w:hint="eastAsia" w:ascii="Times New Roman" w:hAnsi="Times New Roman" w:eastAsia="仿宋_GB2312" w:cs="仿宋_GB2312"/>
                <w:b/>
                <w:bCs/>
                <w:color w:val="auto"/>
                <w:sz w:val="21"/>
                <w:szCs w:val="21"/>
                <w:highlight w:val="none"/>
              </w:rPr>
              <w:t>食品安全法》</w:t>
            </w:r>
            <w:r>
              <w:rPr>
                <w:rStyle w:val="184"/>
                <w:rFonts w:hint="eastAsia" w:ascii="Times New Roman" w:hAnsi="Times New Roman" w:eastAsia="仿宋_GB2312" w:cs="仿宋_GB2312"/>
                <w:b w:val="0"/>
                <w:bCs w:val="0"/>
                <w:color w:val="auto"/>
                <w:sz w:val="21"/>
                <w:szCs w:val="21"/>
                <w:highlight w:val="none"/>
              </w:rPr>
              <w:t>第一百二十六条</w:t>
            </w:r>
            <w:r>
              <w:rPr>
                <w:rStyle w:val="185"/>
                <w:rFonts w:hint="eastAsia" w:ascii="Times New Roman" w:hAnsi="Times New Roman" w:eastAsia="仿宋_GB2312" w:cs="仿宋_GB2312"/>
                <w:b w:val="0"/>
                <w:bCs w:val="0"/>
                <w:color w:val="auto"/>
                <w:sz w:val="21"/>
                <w:szCs w:val="21"/>
                <w:highlight w:val="none"/>
                <w:lang w:eastAsia="zh-CN"/>
              </w:rPr>
              <w:t>第一款第（十二）项</w:t>
            </w:r>
            <w:r>
              <w:rPr>
                <w:rStyle w:val="184"/>
                <w:rFonts w:hint="eastAsia"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rPr>
              <w:t>违反本法规定，有下列情形之一的，由县级以上人民政府食品安全监督管理部门责令改正，给予警告；拒不改正的，处五千元以上五万元以下罚款；情节严重的，责令停产停业，直至吊销许可证：（十二）学校、托幼机构、养老机构、建筑工地等集中用餐单位未按规定履行食品安全管理责任；</w:t>
            </w:r>
          </w:p>
          <w:p w14:paraId="278F45F0">
            <w:pPr>
              <w:keepNext w:val="0"/>
              <w:keepLines w:val="0"/>
              <w:pageBreakBefore w:val="0"/>
              <w:widowControl/>
              <w:spacing w:line="260" w:lineRule="exact"/>
              <w:jc w:val="both"/>
              <w:rPr>
                <w:rStyle w:val="184"/>
                <w:rFonts w:hint="eastAsia" w:ascii="Times New Roman" w:hAnsi="Times New Roman" w:eastAsia="仿宋_GB2312" w:cs="仿宋_GB2312"/>
                <w:b w:val="0"/>
                <w:bCs w:val="0"/>
                <w:color w:val="auto"/>
                <w:sz w:val="21"/>
                <w:szCs w:val="21"/>
                <w:highlight w:val="none"/>
                <w:lang w:val="en-US" w:eastAsia="zh-CN"/>
              </w:rPr>
            </w:pPr>
            <w:r>
              <w:rPr>
                <w:rStyle w:val="184"/>
                <w:rFonts w:hint="eastAsia" w:ascii="Times New Roman" w:hAnsi="Times New Roman" w:eastAsia="仿宋_GB2312" w:cs="仿宋_GB2312"/>
                <w:b w:val="0"/>
                <w:bCs w:val="0"/>
                <w:color w:val="auto"/>
                <w:sz w:val="21"/>
                <w:szCs w:val="21"/>
                <w:highlight w:val="none"/>
                <w:lang w:val="en-US" w:eastAsia="zh-CN"/>
              </w:rPr>
              <w:t>第五十七条</w:t>
            </w:r>
            <w:r>
              <w:rPr>
                <w:rStyle w:val="184"/>
                <w:rFonts w:hint="eastAsia"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lang w:val="en-US" w:eastAsia="zh-CN"/>
              </w:rPr>
              <w:t>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学校、托幼机构、养老机构、建筑工地等集中用餐单位的主管部门应当加强对集中用餐单位的食品安全教育和日常管理，降低食品安全风险，及时消除食品安全隐患。</w:t>
            </w:r>
          </w:p>
        </w:tc>
      </w:tr>
      <w:tr w14:paraId="025B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307" w:type="pct"/>
            <w:noWrap w:val="0"/>
            <w:vAlign w:val="center"/>
          </w:tcPr>
          <w:p w14:paraId="6F037CA9">
            <w:pPr>
              <w:widowControl/>
              <w:spacing w:line="280" w:lineRule="exact"/>
              <w:jc w:val="center"/>
              <w:rPr>
                <w:rFonts w:hint="eastAsia" w:ascii="Times New Roman" w:hAnsi="Times New Roman" w:eastAsia="仿宋" w:cs="仿宋"/>
                <w:color w:val="auto"/>
                <w:sz w:val="21"/>
                <w:szCs w:val="21"/>
                <w:highlight w:val="none"/>
              </w:rPr>
            </w:pPr>
            <w:r>
              <w:rPr>
                <w:rFonts w:hint="eastAsia" w:ascii="Times New Roman" w:hAnsi="Times New Roman" w:eastAsia="仿宋" w:cs="仿宋"/>
                <w:color w:val="auto"/>
                <w:sz w:val="21"/>
                <w:szCs w:val="21"/>
                <w:highlight w:val="none"/>
              </w:rPr>
              <w:t>37</w:t>
            </w:r>
          </w:p>
        </w:tc>
        <w:tc>
          <w:tcPr>
            <w:tcW w:w="901" w:type="pct"/>
            <w:noWrap w:val="0"/>
            <w:vAlign w:val="center"/>
          </w:tcPr>
          <w:p w14:paraId="5A727D44">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rPr>
              <w:t>食用农产品销售者</w:t>
            </w:r>
            <w:r>
              <w:rPr>
                <w:rStyle w:val="185"/>
                <w:rFonts w:hint="eastAsia" w:ascii="Times New Roman" w:hAnsi="Times New Roman" w:eastAsia="仿宋_GB2312" w:cs="仿宋_GB2312"/>
                <w:b w:val="0"/>
                <w:bCs w:val="0"/>
                <w:color w:val="auto"/>
                <w:sz w:val="21"/>
                <w:szCs w:val="21"/>
                <w:highlight w:val="none"/>
                <w:lang w:eastAsia="zh-CN"/>
              </w:rPr>
              <w:t>未</w:t>
            </w:r>
            <w:r>
              <w:rPr>
                <w:rStyle w:val="185"/>
                <w:rFonts w:hint="eastAsia" w:ascii="Times New Roman" w:hAnsi="Times New Roman" w:eastAsia="仿宋_GB2312" w:cs="仿宋_GB2312"/>
                <w:b w:val="0"/>
                <w:bCs w:val="0"/>
                <w:color w:val="auto"/>
                <w:sz w:val="21"/>
                <w:szCs w:val="21"/>
                <w:highlight w:val="none"/>
              </w:rPr>
              <w:t>建立进货查验记录制度，如实记录产品的名称、数量、进货日期以及供货者名称、地址、联系方式等内容，并保存相关凭证少于六个月</w:t>
            </w:r>
          </w:p>
        </w:tc>
        <w:tc>
          <w:tcPr>
            <w:tcW w:w="790" w:type="pct"/>
            <w:noWrap w:val="0"/>
            <w:vAlign w:val="center"/>
          </w:tcPr>
          <w:p w14:paraId="628F55A7">
            <w:pPr>
              <w:keepNext w:val="0"/>
              <w:keepLines w:val="0"/>
              <w:pageBreakBefore w:val="0"/>
              <w:widowControl/>
              <w:spacing w:line="280" w:lineRule="exact"/>
              <w:rPr>
                <w:rFonts w:hint="eastAsia" w:ascii="Times New Roman" w:hAnsi="Times New Roman" w:eastAsia="仿宋_GB2312" w:cs="仿宋_GB2312"/>
                <w:b w:val="0"/>
                <w:bCs w:val="0"/>
                <w:color w:val="auto"/>
                <w:sz w:val="21"/>
                <w:szCs w:val="21"/>
                <w:highlight w:val="none"/>
                <w:u w:val="none"/>
                <w:lang w:val="en-US" w:eastAsia="zh-CN" w:bidi="ar-SA"/>
              </w:rPr>
            </w:pPr>
            <w:r>
              <w:rPr>
                <w:rFonts w:hint="eastAsia" w:ascii="Times New Roman" w:hAnsi="Times New Roman" w:eastAsia="仿宋_GB2312" w:cs="仿宋_GB2312"/>
                <w:color w:val="auto"/>
                <w:sz w:val="21"/>
                <w:szCs w:val="21"/>
                <w:highlight w:val="none"/>
                <w:lang w:eastAsia="zh-CN"/>
              </w:rPr>
              <w:t>违法</w:t>
            </w:r>
            <w:r>
              <w:rPr>
                <w:rFonts w:hint="eastAsia" w:ascii="Times New Roman" w:hAnsi="Times New Roman" w:eastAsia="仿宋_GB2312" w:cs="仿宋_GB2312"/>
                <w:color w:val="auto"/>
                <w:sz w:val="21"/>
                <w:szCs w:val="21"/>
                <w:highlight w:val="none"/>
              </w:rPr>
              <w:t>情节轻微，没有造成</w:t>
            </w:r>
            <w:r>
              <w:rPr>
                <w:rFonts w:hint="eastAsia" w:ascii="Times New Roman" w:hAnsi="Times New Roman" w:eastAsia="仿宋_GB2312" w:cs="仿宋_GB2312"/>
                <w:color w:val="auto"/>
                <w:sz w:val="21"/>
                <w:szCs w:val="21"/>
                <w:highlight w:val="none"/>
                <w:lang w:eastAsia="zh-CN"/>
              </w:rPr>
              <w:t>食品安全事故等</w:t>
            </w:r>
            <w:r>
              <w:rPr>
                <w:rFonts w:hint="eastAsia" w:ascii="Times New Roman" w:hAnsi="Times New Roman" w:eastAsia="仿宋_GB2312" w:cs="仿宋_GB2312"/>
                <w:color w:val="auto"/>
                <w:sz w:val="21"/>
                <w:szCs w:val="21"/>
                <w:highlight w:val="none"/>
              </w:rPr>
              <w:t>危害后果，</w:t>
            </w:r>
            <w:r>
              <w:rPr>
                <w:rFonts w:hint="eastAsia" w:ascii="Times New Roman" w:hAnsi="Times New Roman" w:eastAsia="仿宋_GB2312" w:cs="仿宋_GB2312"/>
                <w:color w:val="auto"/>
                <w:sz w:val="21"/>
                <w:szCs w:val="21"/>
                <w:highlight w:val="none"/>
                <w:lang w:eastAsia="zh-CN"/>
              </w:rPr>
              <w:t>主动改正或在责令改正</w:t>
            </w:r>
            <w:r>
              <w:rPr>
                <w:rFonts w:hint="eastAsia" w:ascii="Times New Roman" w:hAnsi="Times New Roman" w:eastAsia="仿宋_GB2312" w:cs="仿宋_GB2312"/>
                <w:color w:val="auto"/>
                <w:sz w:val="21"/>
                <w:szCs w:val="21"/>
                <w:highlight w:val="none"/>
              </w:rPr>
              <w:t>期限内改正的</w:t>
            </w:r>
          </w:p>
        </w:tc>
        <w:tc>
          <w:tcPr>
            <w:tcW w:w="3000" w:type="pct"/>
            <w:noWrap w:val="0"/>
            <w:vAlign w:val="center"/>
          </w:tcPr>
          <w:p w14:paraId="416E3329">
            <w:pPr>
              <w:keepNext w:val="0"/>
              <w:keepLines w:val="0"/>
              <w:pageBreakBefore w:val="0"/>
              <w:widowControl/>
              <w:spacing w:line="260" w:lineRule="exact"/>
              <w:jc w:val="both"/>
              <w:rPr>
                <w:rStyle w:val="184"/>
                <w:rFonts w:hint="eastAsia" w:ascii="Times New Roman" w:hAnsi="Times New Roman" w:eastAsia="仿宋_GB2312" w:cs="仿宋_GB2312"/>
                <w:b w:val="0"/>
                <w:bCs w:val="0"/>
                <w:color w:val="auto"/>
                <w:sz w:val="21"/>
                <w:szCs w:val="21"/>
                <w:highlight w:val="none"/>
                <w:lang w:eastAsia="zh-CN"/>
              </w:rPr>
            </w:pPr>
            <w:r>
              <w:rPr>
                <w:rStyle w:val="184"/>
                <w:rFonts w:hint="eastAsia" w:ascii="Times New Roman" w:hAnsi="Times New Roman" w:eastAsia="仿宋_GB2312" w:cs="仿宋_GB2312"/>
                <w:b/>
                <w:bCs/>
                <w:color w:val="auto"/>
                <w:sz w:val="21"/>
                <w:szCs w:val="21"/>
                <w:highlight w:val="none"/>
                <w:lang w:eastAsia="zh-CN"/>
              </w:rPr>
              <w:t>《</w:t>
            </w:r>
            <w:r>
              <w:rPr>
                <w:rStyle w:val="184"/>
                <w:rFonts w:hint="eastAsia" w:ascii="Times New Roman" w:hAnsi="Times New Roman" w:eastAsia="仿宋_GB2312" w:cs="仿宋_GB2312"/>
                <w:b/>
                <w:bCs/>
                <w:color w:val="auto"/>
                <w:sz w:val="21"/>
                <w:szCs w:val="21"/>
                <w:highlight w:val="none"/>
              </w:rPr>
              <w:t>中华人民共和国</w:t>
            </w:r>
            <w:r>
              <w:rPr>
                <w:rStyle w:val="185"/>
                <w:rFonts w:hint="eastAsia" w:ascii="Times New Roman" w:hAnsi="Times New Roman" w:eastAsia="仿宋_GB2312" w:cs="仿宋_GB2312"/>
                <w:b/>
                <w:bCs/>
                <w:color w:val="auto"/>
                <w:sz w:val="21"/>
                <w:szCs w:val="21"/>
                <w:highlight w:val="none"/>
              </w:rPr>
              <w:t>食品安全法》</w:t>
            </w:r>
            <w:r>
              <w:rPr>
                <w:rStyle w:val="184"/>
                <w:rFonts w:hint="eastAsia" w:ascii="Times New Roman" w:hAnsi="Times New Roman" w:eastAsia="仿宋_GB2312" w:cs="仿宋_GB2312"/>
                <w:b w:val="0"/>
                <w:bCs w:val="0"/>
                <w:color w:val="auto"/>
                <w:sz w:val="21"/>
                <w:szCs w:val="21"/>
                <w:highlight w:val="none"/>
              </w:rPr>
              <w:t>第一百二十六条</w:t>
            </w:r>
            <w:r>
              <w:rPr>
                <w:rStyle w:val="185"/>
                <w:rFonts w:hint="eastAsia" w:ascii="Times New Roman" w:hAnsi="Times New Roman" w:eastAsia="仿宋_GB2312" w:cs="仿宋_GB2312"/>
                <w:b w:val="0"/>
                <w:bCs w:val="0"/>
                <w:color w:val="auto"/>
                <w:sz w:val="21"/>
                <w:szCs w:val="21"/>
                <w:highlight w:val="none"/>
                <w:lang w:eastAsia="zh-CN"/>
              </w:rPr>
              <w:t>第一款</w:t>
            </w:r>
            <w:r>
              <w:rPr>
                <w:rStyle w:val="184"/>
                <w:rFonts w:hint="eastAsia"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rPr>
              <w:t>违反本法规定，有下列情形之一的，由县级以上人民政府食品安全监督管理部门责令改正，给予警告；拒不改正的，处五千元以上五万元以下罚款；情节严重的，责令停产停业，直至吊销许可证：</w:t>
            </w:r>
          </w:p>
          <w:p w14:paraId="6404D152">
            <w:pPr>
              <w:keepNext w:val="0"/>
              <w:keepLines w:val="0"/>
              <w:pageBreakBefore w:val="0"/>
              <w:widowControl/>
              <w:spacing w:line="260" w:lineRule="exact"/>
              <w:jc w:val="both"/>
              <w:rPr>
                <w:rFonts w:hint="eastAsia" w:ascii="Times New Roman" w:hAnsi="Times New Roman" w:eastAsia="仿宋_GB2312" w:cs="仿宋_GB2312"/>
                <w:b w:val="0"/>
                <w:bCs w:val="0"/>
                <w:color w:val="auto"/>
                <w:sz w:val="21"/>
                <w:szCs w:val="21"/>
                <w:highlight w:val="none"/>
                <w:u w:val="none"/>
                <w:lang w:val="en-US" w:eastAsia="zh-CN" w:bidi="ar-SA"/>
              </w:rPr>
            </w:pPr>
            <w:r>
              <w:rPr>
                <w:rStyle w:val="184"/>
                <w:rFonts w:hint="eastAsia" w:ascii="Times New Roman" w:hAnsi="Times New Roman" w:eastAsia="仿宋_GB2312" w:cs="仿宋_GB2312"/>
                <w:b w:val="0"/>
                <w:bCs w:val="0"/>
                <w:color w:val="auto"/>
                <w:sz w:val="21"/>
                <w:szCs w:val="21"/>
                <w:highlight w:val="none"/>
              </w:rPr>
              <w:t>第一百二十六条</w:t>
            </w:r>
            <w:r>
              <w:rPr>
                <w:rStyle w:val="185"/>
                <w:rFonts w:hint="eastAsia" w:ascii="Times New Roman" w:hAnsi="Times New Roman" w:eastAsia="仿宋_GB2312" w:cs="仿宋_GB2312"/>
                <w:b w:val="0"/>
                <w:bCs w:val="0"/>
                <w:color w:val="auto"/>
                <w:sz w:val="21"/>
                <w:szCs w:val="21"/>
                <w:highlight w:val="none"/>
                <w:lang w:eastAsia="zh-CN"/>
              </w:rPr>
              <w:t>第四款</w:t>
            </w:r>
            <w:r>
              <w:rPr>
                <w:rStyle w:val="185"/>
                <w:rFonts w:hint="eastAsia" w:ascii="Times New Roman" w:hAnsi="Times New Roman" w:eastAsia="仿宋_GB2312" w:cs="仿宋_GB2312"/>
                <w:b w:val="0"/>
                <w:bCs w:val="0"/>
                <w:color w:val="auto"/>
                <w:sz w:val="21"/>
                <w:szCs w:val="21"/>
                <w:highlight w:val="none"/>
                <w:lang w:val="en-US" w:eastAsia="zh-CN"/>
              </w:rPr>
              <w:t xml:space="preserve"> </w:t>
            </w:r>
            <w:r>
              <w:rPr>
                <w:rStyle w:val="185"/>
                <w:rFonts w:hint="eastAsia" w:eastAsia="仿宋_GB2312" w:cs="仿宋_GB2312"/>
                <w:b w:val="0"/>
                <w:bCs w:val="0"/>
                <w:color w:val="auto"/>
                <w:sz w:val="21"/>
                <w:szCs w:val="21"/>
                <w:highlight w:val="none"/>
                <w:lang w:val="en-US" w:eastAsia="zh-CN"/>
              </w:rPr>
              <w:t xml:space="preserve"> </w:t>
            </w:r>
            <w:r>
              <w:rPr>
                <w:rStyle w:val="184"/>
                <w:rFonts w:hint="eastAsia" w:ascii="Times New Roman" w:hAnsi="Times New Roman" w:eastAsia="仿宋_GB2312" w:cs="仿宋_GB2312"/>
                <w:b w:val="0"/>
                <w:bCs w:val="0"/>
                <w:color w:val="auto"/>
                <w:sz w:val="21"/>
                <w:szCs w:val="21"/>
                <w:highlight w:val="none"/>
              </w:rPr>
              <w:t>食用农产品销售者违反本法第六十五条规定的，由县级以上人民政府食品安全监督管理部门依照第一款规定给予处罚。</w:t>
            </w:r>
            <w:r>
              <w:rPr>
                <w:rFonts w:hint="eastAsia" w:ascii="Times New Roman" w:hAnsi="Times New Roman" w:eastAsia="仿宋_GB2312" w:cs="仿宋_GB2312"/>
                <w:b w:val="0"/>
                <w:i w:val="0"/>
                <w:color w:val="auto"/>
                <w:sz w:val="21"/>
                <w:szCs w:val="21"/>
                <w:highlight w:val="none"/>
              </w:rPr>
              <w:t>第六十五条</w:t>
            </w:r>
            <w:r>
              <w:rPr>
                <w:rFonts w:hint="eastAsia" w:eastAsia="仿宋_GB2312" w:cs="仿宋_GB2312"/>
                <w:b w:val="0"/>
                <w:i w:val="0"/>
                <w:color w:val="auto"/>
                <w:sz w:val="21"/>
                <w:szCs w:val="21"/>
                <w:highlight w:val="none"/>
                <w:lang w:val="en-US" w:eastAsia="zh-CN"/>
              </w:rPr>
              <w:t xml:space="preserve">  </w:t>
            </w:r>
            <w:r>
              <w:rPr>
                <w:rFonts w:hint="eastAsia" w:ascii="Times New Roman" w:hAnsi="Times New Roman" w:eastAsia="仿宋_GB2312" w:cs="仿宋_GB2312"/>
                <w:b w:val="0"/>
                <w:i w:val="0"/>
                <w:color w:val="auto"/>
                <w:sz w:val="21"/>
                <w:szCs w:val="21"/>
                <w:highlight w:val="none"/>
              </w:rPr>
              <w:t>食用农产品销售者应当建立食用农产品进货查验记录制度，如实记录食用农产品的名称、数量、进货日期以及供货者名称、地址、联系方式等内容，并保存相关凭证。记录和凭证保存期限不得少于六个月。</w:t>
            </w:r>
          </w:p>
        </w:tc>
      </w:tr>
      <w:tr w14:paraId="6C39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0" w:hRule="atLeast"/>
          <w:jc w:val="center"/>
        </w:trPr>
        <w:tc>
          <w:tcPr>
            <w:tcW w:w="307" w:type="pct"/>
            <w:noWrap w:val="0"/>
            <w:vAlign w:val="center"/>
          </w:tcPr>
          <w:p w14:paraId="721FAE11">
            <w:pPr>
              <w:widowControl/>
              <w:spacing w:line="280" w:lineRule="exact"/>
              <w:jc w:val="center"/>
              <w:rPr>
                <w:rFonts w:hint="eastAsia" w:ascii="Times New Roman" w:hAnsi="Times New Roman" w:eastAsia="仿宋" w:cs="仿宋"/>
                <w:color w:val="auto"/>
                <w:sz w:val="21"/>
                <w:szCs w:val="21"/>
                <w:highlight w:val="none"/>
              </w:rPr>
            </w:pPr>
            <w:r>
              <w:rPr>
                <w:rStyle w:val="184"/>
                <w:rFonts w:hint="eastAsia" w:ascii="Times New Roman" w:hAnsi="Times New Roman" w:eastAsia="仿宋" w:cs="仿宋"/>
                <w:b w:val="0"/>
                <w:bCs w:val="0"/>
                <w:color w:val="auto"/>
                <w:sz w:val="21"/>
                <w:szCs w:val="21"/>
                <w:highlight w:val="none"/>
                <w:lang w:val="en-US" w:eastAsia="zh-CN"/>
              </w:rPr>
              <w:t>38</w:t>
            </w:r>
          </w:p>
        </w:tc>
        <w:tc>
          <w:tcPr>
            <w:tcW w:w="901" w:type="pct"/>
            <w:noWrap w:val="0"/>
            <w:vAlign w:val="center"/>
          </w:tcPr>
          <w:p w14:paraId="4114860F">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rPr>
              <w:t>食品经营者</w:t>
            </w:r>
            <w:r>
              <w:rPr>
                <w:rStyle w:val="185"/>
                <w:rFonts w:hint="eastAsia" w:ascii="Times New Roman" w:hAnsi="Times New Roman" w:eastAsia="仿宋_GB2312" w:cs="仿宋_GB2312"/>
                <w:b w:val="0"/>
                <w:bCs w:val="0"/>
                <w:color w:val="auto"/>
                <w:sz w:val="21"/>
                <w:szCs w:val="21"/>
                <w:highlight w:val="none"/>
                <w:lang w:eastAsia="zh-CN"/>
              </w:rPr>
              <w:t>、</w:t>
            </w:r>
            <w:r>
              <w:rPr>
                <w:rStyle w:val="185"/>
                <w:rFonts w:hint="eastAsia" w:ascii="Times New Roman" w:hAnsi="Times New Roman" w:eastAsia="仿宋_GB2312" w:cs="仿宋_GB2312"/>
                <w:b w:val="0"/>
                <w:bCs w:val="0"/>
                <w:color w:val="auto"/>
                <w:sz w:val="21"/>
                <w:szCs w:val="21"/>
                <w:highlight w:val="none"/>
              </w:rPr>
              <w:t>从事食品贮存、运输和装卸的</w:t>
            </w:r>
            <w:r>
              <w:rPr>
                <w:rStyle w:val="185"/>
                <w:rFonts w:hint="eastAsia" w:ascii="Times New Roman" w:hAnsi="Times New Roman" w:eastAsia="仿宋_GB2312" w:cs="仿宋_GB2312"/>
                <w:b w:val="0"/>
                <w:bCs w:val="0"/>
                <w:color w:val="auto"/>
                <w:sz w:val="21"/>
                <w:szCs w:val="21"/>
                <w:highlight w:val="none"/>
                <w:lang w:eastAsia="zh-CN"/>
              </w:rPr>
              <w:t>，未</w:t>
            </w:r>
            <w:r>
              <w:rPr>
                <w:rStyle w:val="185"/>
                <w:rFonts w:hint="eastAsia" w:ascii="Times New Roman" w:hAnsi="Times New Roman" w:eastAsia="仿宋_GB2312" w:cs="仿宋_GB2312"/>
                <w:b w:val="0"/>
                <w:bCs w:val="0"/>
                <w:color w:val="auto"/>
                <w:sz w:val="21"/>
                <w:szCs w:val="21"/>
                <w:highlight w:val="none"/>
              </w:rPr>
              <w:t>按要求进行食品贮存、运输和装卸</w:t>
            </w:r>
          </w:p>
        </w:tc>
        <w:tc>
          <w:tcPr>
            <w:tcW w:w="790" w:type="pct"/>
            <w:noWrap w:val="0"/>
            <w:vAlign w:val="center"/>
          </w:tcPr>
          <w:p w14:paraId="353D1734">
            <w:pPr>
              <w:keepNext w:val="0"/>
              <w:keepLines w:val="0"/>
              <w:pageBreakBefore w:val="0"/>
              <w:widowControl/>
              <w:spacing w:line="28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lang w:eastAsia="zh-CN"/>
              </w:rPr>
              <w:t>属于首次违法，未</w:t>
            </w:r>
            <w:r>
              <w:rPr>
                <w:rStyle w:val="185"/>
                <w:rFonts w:hint="eastAsia" w:ascii="Times New Roman" w:hAnsi="Times New Roman" w:eastAsia="仿宋_GB2312" w:cs="仿宋_GB2312"/>
                <w:b w:val="0"/>
                <w:bCs w:val="0"/>
                <w:color w:val="auto"/>
                <w:sz w:val="21"/>
                <w:szCs w:val="21"/>
                <w:highlight w:val="none"/>
              </w:rPr>
              <w:t>与有毒、有害物品一同贮存、运输</w:t>
            </w:r>
            <w:r>
              <w:rPr>
                <w:rStyle w:val="185"/>
                <w:rFonts w:hint="eastAsia" w:ascii="Times New Roman" w:hAnsi="Times New Roman" w:eastAsia="仿宋_GB2312" w:cs="仿宋_GB2312"/>
                <w:b w:val="0"/>
                <w:bCs w:val="0"/>
                <w:color w:val="auto"/>
                <w:sz w:val="21"/>
                <w:szCs w:val="21"/>
                <w:highlight w:val="none"/>
                <w:lang w:eastAsia="zh-CN"/>
              </w:rPr>
              <w:t>，</w:t>
            </w:r>
            <w:r>
              <w:rPr>
                <w:rFonts w:hint="eastAsia" w:ascii="Times New Roman" w:hAnsi="Times New Roman" w:eastAsia="仿宋_GB2312" w:cs="仿宋_GB2312"/>
                <w:color w:val="auto"/>
                <w:sz w:val="21"/>
                <w:szCs w:val="21"/>
                <w:highlight w:val="none"/>
              </w:rPr>
              <w:t>没有造成</w:t>
            </w:r>
            <w:r>
              <w:rPr>
                <w:rFonts w:hint="eastAsia" w:ascii="Times New Roman" w:hAnsi="Times New Roman" w:eastAsia="仿宋_GB2312" w:cs="仿宋_GB2312"/>
                <w:color w:val="auto"/>
                <w:sz w:val="21"/>
                <w:szCs w:val="21"/>
                <w:highlight w:val="none"/>
                <w:lang w:eastAsia="zh-CN"/>
              </w:rPr>
              <w:t>食品安全事故等</w:t>
            </w:r>
            <w:r>
              <w:rPr>
                <w:rFonts w:hint="eastAsia" w:ascii="Times New Roman" w:hAnsi="Times New Roman" w:eastAsia="仿宋_GB2312" w:cs="仿宋_GB2312"/>
                <w:color w:val="auto"/>
                <w:sz w:val="21"/>
                <w:szCs w:val="21"/>
                <w:highlight w:val="none"/>
              </w:rPr>
              <w:t>危害后果，</w:t>
            </w:r>
            <w:r>
              <w:rPr>
                <w:rFonts w:hint="eastAsia" w:ascii="Times New Roman" w:hAnsi="Times New Roman" w:eastAsia="仿宋_GB2312" w:cs="仿宋_GB2312"/>
                <w:color w:val="auto"/>
                <w:sz w:val="21"/>
                <w:szCs w:val="21"/>
                <w:highlight w:val="none"/>
                <w:lang w:eastAsia="zh-CN"/>
              </w:rPr>
              <w:t>主动改正或在责令改正</w:t>
            </w:r>
            <w:r>
              <w:rPr>
                <w:rFonts w:hint="eastAsia" w:ascii="Times New Roman" w:hAnsi="Times New Roman" w:eastAsia="仿宋_GB2312" w:cs="仿宋_GB2312"/>
                <w:color w:val="auto"/>
                <w:sz w:val="21"/>
                <w:szCs w:val="21"/>
                <w:highlight w:val="none"/>
              </w:rPr>
              <w:t>期限内改正的</w:t>
            </w:r>
          </w:p>
        </w:tc>
        <w:tc>
          <w:tcPr>
            <w:tcW w:w="3000" w:type="pct"/>
            <w:noWrap w:val="0"/>
            <w:vAlign w:val="center"/>
          </w:tcPr>
          <w:p w14:paraId="6A305EC8">
            <w:pPr>
              <w:keepNext w:val="0"/>
              <w:keepLines w:val="0"/>
              <w:pageBreakBefore w:val="0"/>
              <w:widowControl/>
              <w:spacing w:line="260" w:lineRule="exact"/>
              <w:jc w:val="left"/>
              <w:rPr>
                <w:rStyle w:val="185"/>
                <w:rFonts w:hint="eastAsia" w:ascii="Times New Roman" w:hAnsi="Times New Roman" w:eastAsia="仿宋_GB2312" w:cs="仿宋_GB2312"/>
                <w:b w:val="0"/>
                <w:bCs w:val="0"/>
                <w:color w:val="auto"/>
                <w:sz w:val="21"/>
                <w:szCs w:val="21"/>
                <w:highlight w:val="none"/>
              </w:rPr>
            </w:pPr>
            <w:r>
              <w:rPr>
                <w:rStyle w:val="185"/>
                <w:rFonts w:hint="eastAsia" w:ascii="Times New Roman" w:hAnsi="Times New Roman" w:eastAsia="仿宋_GB2312" w:cs="仿宋_GB2312"/>
                <w:b/>
                <w:bCs/>
                <w:color w:val="auto"/>
                <w:sz w:val="21"/>
                <w:szCs w:val="21"/>
                <w:highlight w:val="none"/>
              </w:rPr>
              <w:t>《</w:t>
            </w:r>
            <w:r>
              <w:rPr>
                <w:rStyle w:val="184"/>
                <w:rFonts w:hint="eastAsia" w:ascii="Times New Roman" w:hAnsi="Times New Roman" w:eastAsia="仿宋_GB2312" w:cs="仿宋_GB2312"/>
                <w:b/>
                <w:bCs/>
                <w:color w:val="auto"/>
                <w:sz w:val="21"/>
                <w:szCs w:val="21"/>
                <w:highlight w:val="none"/>
              </w:rPr>
              <w:t>中华</w:t>
            </w:r>
            <w:r>
              <w:rPr>
                <w:rStyle w:val="185"/>
                <w:rFonts w:hint="eastAsia" w:ascii="Times New Roman" w:hAnsi="Times New Roman" w:eastAsia="仿宋_GB2312" w:cs="仿宋_GB2312"/>
                <w:b/>
                <w:bCs/>
                <w:color w:val="auto"/>
                <w:sz w:val="21"/>
                <w:szCs w:val="21"/>
                <w:highlight w:val="none"/>
              </w:rPr>
              <w:t>人民共和国食品安全法》</w:t>
            </w:r>
            <w:r>
              <w:rPr>
                <w:rStyle w:val="185"/>
                <w:rFonts w:hint="eastAsia" w:ascii="Times New Roman" w:hAnsi="Times New Roman" w:eastAsia="仿宋_GB2312" w:cs="仿宋_GB2312"/>
                <w:b w:val="0"/>
                <w:bCs w:val="0"/>
                <w:color w:val="auto"/>
                <w:sz w:val="21"/>
                <w:szCs w:val="21"/>
                <w:highlight w:val="none"/>
              </w:rPr>
              <w:t>第三十三条</w:t>
            </w:r>
            <w:r>
              <w:rPr>
                <w:rStyle w:val="185"/>
                <w:rFonts w:hint="eastAsia" w:ascii="Times New Roman" w:hAnsi="Times New Roman" w:eastAsia="仿宋_GB2312" w:cs="仿宋_GB2312"/>
                <w:b w:val="0"/>
                <w:bCs w:val="0"/>
                <w:color w:val="auto"/>
                <w:sz w:val="21"/>
                <w:szCs w:val="21"/>
                <w:highlight w:val="none"/>
                <w:lang w:eastAsia="zh-CN"/>
              </w:rPr>
              <w:t>第一款</w:t>
            </w:r>
            <w:r>
              <w:rPr>
                <w:rStyle w:val="185"/>
                <w:rFonts w:hint="eastAsia" w:ascii="Times New Roman" w:hAnsi="Times New Roman" w:eastAsia="仿宋_GB2312" w:cs="仿宋_GB2312"/>
                <w:b w:val="0"/>
                <w:bCs w:val="0"/>
                <w:color w:val="auto"/>
                <w:sz w:val="21"/>
                <w:szCs w:val="21"/>
                <w:highlight w:val="none"/>
              </w:rPr>
              <w:t>第六项</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食品生产经营应当符合食品安全标准，并符合下列要求：（六）贮存、运输和装卸食品的容器、工具和设备应当安全、无害，保持清洁，防止食品污染，并符合保证食品安全所需的温度、湿度等特殊要求，不得将食品与有毒、有害物品一同贮存、运输；</w:t>
            </w:r>
            <w:r>
              <w:rPr>
                <w:rStyle w:val="185"/>
                <w:rFonts w:hint="eastAsia" w:ascii="Times New Roman" w:hAnsi="Times New Roman" w:eastAsia="仿宋_GB2312" w:cs="仿宋_GB2312"/>
                <w:b w:val="0"/>
                <w:bCs w:val="0"/>
                <w:color w:val="auto"/>
                <w:sz w:val="21"/>
                <w:szCs w:val="21"/>
                <w:highlight w:val="none"/>
                <w:lang w:eastAsia="zh-CN"/>
              </w:rPr>
              <w:t>第二款</w:t>
            </w:r>
            <w:r>
              <w:rPr>
                <w:rStyle w:val="185"/>
                <w:rFonts w:hint="eastAsia" w:ascii="Times New Roman" w:hAnsi="Times New Roman" w:eastAsia="仿宋_GB2312" w:cs="仿宋_GB2312"/>
                <w:b w:val="0"/>
                <w:bCs w:val="0"/>
                <w:color w:val="auto"/>
                <w:sz w:val="21"/>
                <w:szCs w:val="21"/>
                <w:highlight w:val="none"/>
                <w:lang w:val="en-US" w:eastAsia="zh-CN"/>
              </w:rPr>
              <w:t xml:space="preserve"> </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非食品生产经营者从事食品贮存、运输和装卸的，应当符合前款第六项的规定。第五十四条</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食品经营者应当按照保证食品安全的要求贮存食品，定期检查库存食品，及时清理变质或者超过保质期的食品。食品经营者贮存散装食品，应当在贮存位置标明食品的名称、生产日期或者生产批号、保质期、生产者名称及联系方式等内容。</w:t>
            </w:r>
          </w:p>
          <w:p w14:paraId="5D1941F3">
            <w:pPr>
              <w:keepNext w:val="0"/>
              <w:keepLines w:val="0"/>
              <w:pageBreakBefore w:val="0"/>
              <w:widowControl/>
              <w:spacing w:line="260" w:lineRule="exact"/>
              <w:jc w:val="left"/>
              <w:rPr>
                <w:rFonts w:hint="eastAsia" w:ascii="Times New Roman" w:hAnsi="Times New Roman" w:eastAsia="仿宋_GB2312" w:cs="仿宋_GB2312"/>
                <w:b w:val="0"/>
                <w:bCs w:val="0"/>
                <w:color w:val="auto"/>
                <w:sz w:val="21"/>
                <w:szCs w:val="21"/>
                <w:highlight w:val="none"/>
                <w:u w:val="none"/>
                <w:lang w:val="en-US" w:eastAsia="zh-CN" w:bidi="ar-SA"/>
              </w:rPr>
            </w:pPr>
            <w:r>
              <w:rPr>
                <w:rStyle w:val="185"/>
                <w:rFonts w:hint="eastAsia" w:ascii="Times New Roman" w:hAnsi="Times New Roman" w:eastAsia="仿宋_GB2312" w:cs="仿宋_GB2312"/>
                <w:b w:val="0"/>
                <w:bCs w:val="0"/>
                <w:color w:val="auto"/>
                <w:sz w:val="21"/>
                <w:szCs w:val="21"/>
                <w:highlight w:val="none"/>
              </w:rPr>
              <w:t>第一百三十二条</w:t>
            </w:r>
            <w:r>
              <w:rPr>
                <w:rStyle w:val="185"/>
                <w:rFonts w:hint="eastAsia" w:eastAsia="仿宋_GB2312" w:cs="仿宋_GB2312"/>
                <w:b w:val="0"/>
                <w:bCs w:val="0"/>
                <w:color w:val="auto"/>
                <w:sz w:val="21"/>
                <w:szCs w:val="21"/>
                <w:highlight w:val="none"/>
                <w:lang w:val="en-US" w:eastAsia="zh-CN"/>
              </w:rPr>
              <w:t xml:space="preserve">  </w:t>
            </w:r>
            <w:r>
              <w:rPr>
                <w:rStyle w:val="185"/>
                <w:rFonts w:hint="eastAsia" w:ascii="Times New Roman" w:hAnsi="Times New Roman" w:eastAsia="仿宋_GB2312" w:cs="仿宋_GB2312"/>
                <w:b w:val="0"/>
                <w:bCs w:val="0"/>
                <w:color w:val="auto"/>
                <w:sz w:val="21"/>
                <w:szCs w:val="21"/>
                <w:highlight w:val="none"/>
              </w:rPr>
              <w:t>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tc>
      </w:tr>
      <w:tr w14:paraId="23E9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307" w:type="pct"/>
            <w:noWrap w:val="0"/>
            <w:vAlign w:val="center"/>
          </w:tcPr>
          <w:p w14:paraId="7CB1EDFA">
            <w:pPr>
              <w:widowControl/>
              <w:spacing w:line="280" w:lineRule="exact"/>
              <w:jc w:val="center"/>
              <w:rPr>
                <w:rFonts w:hint="eastAsia" w:ascii="Times New Roman" w:hAnsi="Times New Roman" w:eastAsia="仿宋" w:cs="仿宋"/>
                <w:b w:val="0"/>
                <w:bCs w:val="0"/>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rPr>
              <w:t>39</w:t>
            </w:r>
          </w:p>
        </w:tc>
        <w:tc>
          <w:tcPr>
            <w:tcW w:w="901" w:type="pct"/>
            <w:noWrap w:val="0"/>
            <w:vAlign w:val="center"/>
          </w:tcPr>
          <w:p w14:paraId="2A866580">
            <w:pPr>
              <w:keepNext w:val="0"/>
              <w:keepLines w:val="0"/>
              <w:pageBreakBefore w:val="0"/>
              <w:widowControl/>
              <w:spacing w:line="26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网络食品交易第三方平台提供者和通过自建网站交易的食品生产经营者未履行相应备案义务的</w:t>
            </w:r>
          </w:p>
        </w:tc>
        <w:tc>
          <w:tcPr>
            <w:tcW w:w="790" w:type="pct"/>
            <w:noWrap w:val="0"/>
            <w:vAlign w:val="center"/>
          </w:tcPr>
          <w:p w14:paraId="0C896A4C">
            <w:pPr>
              <w:keepNext w:val="0"/>
              <w:keepLines w:val="0"/>
              <w:pageBreakBefore w:val="0"/>
              <w:widowControl/>
              <w:spacing w:line="260" w:lineRule="exac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08B7E52B">
            <w:pPr>
              <w:keepNext w:val="0"/>
              <w:keepLines w:val="0"/>
              <w:pageBreakBefore w:val="0"/>
              <w:widowControl/>
              <w:spacing w:line="26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《网络食品安全违法行为查处办法》</w:t>
            </w:r>
            <w:r>
              <w:rPr>
                <w:rStyle w:val="185"/>
                <w:rFonts w:hint="eastAsia" w:ascii="Times New Roman" w:hAnsi="Times New Roman" w:eastAsia="仿宋_GB2312" w:cs="仿宋_GB2312"/>
                <w:color w:val="auto"/>
                <w:sz w:val="21"/>
                <w:szCs w:val="21"/>
                <w:highlight w:val="none"/>
              </w:rPr>
              <w:t>第八条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网络食品交易第三方平台提供者应当在通信主管部门批准后30个工作日内，向所在地省级市场监督管理部门备案，取得备案号。通过自建网站交易的食品生产经营者应当在通信主管部门批准后30个工作日内，向所在地市、县级市场监督管理部门备案，取得备案号。</w:t>
            </w:r>
          </w:p>
          <w:p w14:paraId="4BE8E1EF">
            <w:pPr>
              <w:keepNext w:val="0"/>
              <w:keepLines w:val="0"/>
              <w:pageBreakBefore w:val="0"/>
              <w:widowControl/>
              <w:spacing w:line="260" w:lineRule="exact"/>
              <w:jc w:val="left"/>
              <w:rPr>
                <w:rFonts w:hint="eastAsia" w:ascii="Times New Roman" w:hAnsi="Times New Roman" w:eastAsia="仿宋_GB2312" w:cs="仿宋_GB2312"/>
                <w:b/>
                <w:bCs/>
                <w:color w:val="auto"/>
                <w:sz w:val="21"/>
                <w:szCs w:val="21"/>
                <w:highlight w:val="none"/>
                <w:lang w:val="en-US" w:eastAsia="zh-CN" w:bidi="ar-SA"/>
              </w:rPr>
            </w:pPr>
            <w:r>
              <w:rPr>
                <w:rStyle w:val="185"/>
                <w:rFonts w:hint="eastAsia" w:ascii="Times New Roman" w:hAnsi="Times New Roman" w:eastAsia="仿宋_GB2312" w:cs="仿宋_GB2312"/>
                <w:color w:val="auto"/>
                <w:sz w:val="21"/>
                <w:szCs w:val="21"/>
                <w:highlight w:val="none"/>
              </w:rPr>
              <w:t>第二十九条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违反本办法第八条规定，网络食品交易第三方平台提供者和通过自建网站交易的食品生产经营者未履行相应备案义务的，由县级以上地方市场监督管理部门责令改正，给予警告；拒不改正的，处5000元以上3万元以下罚款。</w:t>
            </w:r>
          </w:p>
        </w:tc>
      </w:tr>
      <w:tr w14:paraId="0BCE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307" w:type="pct"/>
            <w:noWrap w:val="0"/>
            <w:vAlign w:val="center"/>
          </w:tcPr>
          <w:p w14:paraId="46BB9BCA">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rPr>
              <w:t>40</w:t>
            </w:r>
          </w:p>
        </w:tc>
        <w:tc>
          <w:tcPr>
            <w:tcW w:w="901" w:type="pct"/>
            <w:noWrap w:val="0"/>
            <w:vAlign w:val="center"/>
          </w:tcPr>
          <w:p w14:paraId="49D9C0AA">
            <w:pPr>
              <w:keepNext w:val="0"/>
              <w:keepLines w:val="0"/>
              <w:pageBreakBefore w:val="0"/>
              <w:widowControl/>
              <w:spacing w:line="26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网络餐饮服务第三方平台提供者未按要求建立、执行并公开相关制度的</w:t>
            </w:r>
          </w:p>
        </w:tc>
        <w:tc>
          <w:tcPr>
            <w:tcW w:w="790" w:type="pct"/>
            <w:noWrap w:val="0"/>
            <w:vAlign w:val="center"/>
          </w:tcPr>
          <w:p w14:paraId="6782822D">
            <w:pPr>
              <w:keepNext w:val="0"/>
              <w:keepLines w:val="0"/>
              <w:pageBreakBefore w:val="0"/>
              <w:widowControl/>
              <w:spacing w:line="260" w:lineRule="exac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1EF31AF0">
            <w:pPr>
              <w:keepNext w:val="0"/>
              <w:keepLines w:val="0"/>
              <w:pageBreakBefore w:val="0"/>
              <w:widowControl/>
              <w:spacing w:line="260" w:lineRule="exact"/>
              <w:jc w:val="both"/>
              <w:rPr>
                <w:rFonts w:hint="eastAsia" w:ascii="Times New Roman" w:hAnsi="Times New Roman" w:eastAsia="仿宋_GB2312" w:cs="仿宋_GB2312"/>
                <w:b/>
                <w:bCs/>
                <w:color w:val="auto"/>
                <w:sz w:val="21"/>
                <w:szCs w:val="21"/>
                <w:highlight w:val="none"/>
                <w:lang w:val="en-US" w:eastAsia="zh-CN" w:bidi="ar-SA"/>
              </w:rPr>
            </w:pPr>
            <w:r>
              <w:rPr>
                <w:rStyle w:val="184"/>
                <w:rFonts w:hint="eastAsia" w:ascii="Times New Roman" w:hAnsi="Times New Roman" w:eastAsia="仿宋_GB2312" w:cs="仿宋_GB2312"/>
                <w:color w:val="auto"/>
                <w:sz w:val="21"/>
                <w:szCs w:val="21"/>
                <w:highlight w:val="none"/>
              </w:rPr>
              <w:t>《网络餐饮服务食品安全监督管理办法》</w:t>
            </w:r>
            <w:r>
              <w:rPr>
                <w:rStyle w:val="185"/>
                <w:rFonts w:hint="eastAsia" w:ascii="Times New Roman" w:hAnsi="Times New Roman" w:eastAsia="仿宋_GB2312" w:cs="仿宋_GB2312"/>
                <w:color w:val="auto"/>
                <w:sz w:val="21"/>
                <w:szCs w:val="21"/>
                <w:highlight w:val="none"/>
              </w:rPr>
              <w:t xml:space="preserve">第六条 </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网络餐饮服务第三方平台提供者应当建立并执行入网餐饮服务提供者审查登记、食品安全违法行为制止及报告、严重违法行为平台服务停止、食品安全事故处置等制度，并在网络平台上公开相关制度。第二十九条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 xml:space="preserve"> 违反本办法第六条规定，网络餐饮服务第三方平台提供者未按要求建立、执行并公开相关制度的，由县级以上地方市场监督管理部门责令改正，给予警告；拒不改正的，处5000元以上3万元以下罚款。</w:t>
            </w:r>
          </w:p>
        </w:tc>
      </w:tr>
      <w:tr w14:paraId="2F5B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jc w:val="center"/>
        </w:trPr>
        <w:tc>
          <w:tcPr>
            <w:tcW w:w="307" w:type="pct"/>
            <w:noWrap w:val="0"/>
            <w:vAlign w:val="center"/>
          </w:tcPr>
          <w:p w14:paraId="0A58BE28">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bidi="ar-SA"/>
              </w:rPr>
              <w:t>41</w:t>
            </w:r>
          </w:p>
        </w:tc>
        <w:tc>
          <w:tcPr>
            <w:tcW w:w="901" w:type="pct"/>
            <w:noWrap w:val="0"/>
            <w:vAlign w:val="center"/>
          </w:tcPr>
          <w:p w14:paraId="7844D6D3">
            <w:pPr>
              <w:keepNext w:val="0"/>
              <w:keepLines w:val="0"/>
              <w:pageBreakBefore w:val="0"/>
              <w:widowControl/>
              <w:spacing w:line="260" w:lineRule="exact"/>
              <w:jc w:val="lef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网络餐饮服务第三方平台提供者未设置专门的食品安全管理机构，配备专职食品安全管理人员，或者未按要求对食品安全管理人员进行培训、考核并保存记录的</w:t>
            </w:r>
          </w:p>
        </w:tc>
        <w:tc>
          <w:tcPr>
            <w:tcW w:w="790" w:type="pct"/>
            <w:noWrap w:val="0"/>
            <w:vAlign w:val="center"/>
          </w:tcPr>
          <w:p w14:paraId="1835B38F">
            <w:pPr>
              <w:keepNext w:val="0"/>
              <w:keepLines w:val="0"/>
              <w:pageBreakBefore w:val="0"/>
              <w:widowControl/>
              <w:spacing w:line="260" w:lineRule="exac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04F6FF8A">
            <w:pPr>
              <w:keepNext w:val="0"/>
              <w:keepLines w:val="0"/>
              <w:pageBreakBefore w:val="0"/>
              <w:widowControl/>
              <w:spacing w:line="26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《网络餐饮服务食品安全监督管理办法》</w:t>
            </w:r>
            <w:r>
              <w:rPr>
                <w:rStyle w:val="185"/>
                <w:rFonts w:hint="eastAsia" w:ascii="Times New Roman" w:hAnsi="Times New Roman" w:eastAsia="仿宋_GB2312" w:cs="仿宋_GB2312"/>
                <w:color w:val="auto"/>
                <w:sz w:val="21"/>
                <w:szCs w:val="21"/>
                <w:highlight w:val="none"/>
              </w:rPr>
              <w:t>第七条  网络餐饮服务第三方平台提供者应当设置专门的食品安全管理机构</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配备专职食品安全管理人员</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每年对食品安全管理人员进行培训和考核。培训和考核记录保存期限不得少于两年。经考核不具备食品安全管理能力的</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不得上岗。</w:t>
            </w:r>
          </w:p>
          <w:p w14:paraId="5D6224D3">
            <w:pPr>
              <w:keepNext w:val="0"/>
              <w:keepLines w:val="0"/>
              <w:pageBreakBefore w:val="0"/>
              <w:widowControl/>
              <w:spacing w:line="260" w:lineRule="exact"/>
              <w:jc w:val="left"/>
              <w:rPr>
                <w:rFonts w:hint="eastAsia" w:ascii="Times New Roman" w:hAnsi="Times New Roman" w:eastAsia="仿宋_GB2312" w:cs="仿宋_GB2312"/>
                <w:b/>
                <w:bCs/>
                <w:strike/>
                <w:color w:val="auto"/>
                <w:sz w:val="21"/>
                <w:szCs w:val="21"/>
                <w:highlight w:val="none"/>
                <w:lang w:val="en-US" w:eastAsia="zh-CN" w:bidi="ar-SA"/>
              </w:rPr>
            </w:pPr>
            <w:r>
              <w:rPr>
                <w:rStyle w:val="185"/>
                <w:rFonts w:hint="eastAsia" w:ascii="Times New Roman" w:hAnsi="Times New Roman" w:eastAsia="仿宋_GB2312" w:cs="仿宋_GB2312"/>
                <w:color w:val="auto"/>
                <w:sz w:val="21"/>
                <w:szCs w:val="21"/>
                <w:highlight w:val="none"/>
              </w:rPr>
              <w:t>第三十条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违反本办法第七条规定，网络餐饮服务第三方平台提供者未设置专门的食品安全管理机构，配备专职食品安全管理人员，或者未按要求对食品安全管理人员进行培训、考核并保存记录的，由县级以上地方市场监督管理部门责令改正，给予警告；拒不改正的，处5000元以上3万元以下罚款。</w:t>
            </w:r>
          </w:p>
        </w:tc>
      </w:tr>
      <w:tr w14:paraId="3639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jc w:val="center"/>
        </w:trPr>
        <w:tc>
          <w:tcPr>
            <w:tcW w:w="307" w:type="pct"/>
            <w:noWrap w:val="0"/>
            <w:vAlign w:val="center"/>
          </w:tcPr>
          <w:p w14:paraId="0D19526E">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rPr>
              <w:t>42</w:t>
            </w:r>
          </w:p>
        </w:tc>
        <w:tc>
          <w:tcPr>
            <w:tcW w:w="901" w:type="pct"/>
            <w:noWrap w:val="0"/>
            <w:vAlign w:val="center"/>
          </w:tcPr>
          <w:p w14:paraId="164727B4">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网络食品交易第三方平台提供者和通过自建网站交易的食品生产经营者不具备数据备份、故障恢复等技术条件，不能保障网络食品交易数据和资料的可靠性与安全性的</w:t>
            </w:r>
          </w:p>
        </w:tc>
        <w:tc>
          <w:tcPr>
            <w:tcW w:w="790" w:type="pct"/>
            <w:noWrap w:val="0"/>
            <w:vAlign w:val="center"/>
          </w:tcPr>
          <w:p w14:paraId="054774E5">
            <w:pPr>
              <w:keepNext w:val="0"/>
              <w:keepLines w:val="0"/>
              <w:pageBreakBefore w:val="0"/>
              <w:widowControl/>
              <w:spacing w:line="280" w:lineRule="exac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3AF2565E">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《网络食品安全违法行为查处办法》</w:t>
            </w:r>
            <w:r>
              <w:rPr>
                <w:rStyle w:val="185"/>
                <w:rFonts w:hint="eastAsia" w:ascii="Times New Roman" w:hAnsi="Times New Roman" w:eastAsia="仿宋_GB2312" w:cs="仿宋_GB2312"/>
                <w:color w:val="auto"/>
                <w:sz w:val="21"/>
                <w:szCs w:val="21"/>
                <w:highlight w:val="none"/>
              </w:rPr>
              <w:t>第九条  网络食品交易第三方平台提供者和通过自建网站交易的食品生产经营者应当具备数据备份、故障恢复等技术条件</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保障网络食品交易数据和资料的可靠性与安全性。</w:t>
            </w:r>
          </w:p>
          <w:p w14:paraId="33505157">
            <w:pPr>
              <w:keepNext w:val="0"/>
              <w:keepLines w:val="0"/>
              <w:pageBreakBefore w:val="0"/>
              <w:widowControl/>
              <w:spacing w:line="280" w:lineRule="exact"/>
              <w:jc w:val="left"/>
              <w:rPr>
                <w:rFonts w:hint="eastAsia" w:ascii="Times New Roman" w:hAnsi="Times New Roman" w:eastAsia="仿宋_GB2312" w:cs="仿宋_GB2312"/>
                <w:b/>
                <w:bCs/>
                <w:strike/>
                <w:color w:val="auto"/>
                <w:sz w:val="21"/>
                <w:szCs w:val="21"/>
                <w:highlight w:val="none"/>
                <w:lang w:val="en-US" w:eastAsia="zh-CN" w:bidi="ar-SA"/>
              </w:rPr>
            </w:pPr>
            <w:r>
              <w:rPr>
                <w:rStyle w:val="185"/>
                <w:rFonts w:hint="eastAsia" w:ascii="Times New Roman" w:hAnsi="Times New Roman" w:eastAsia="仿宋_GB2312" w:cs="仿宋_GB2312"/>
                <w:color w:val="auto"/>
                <w:sz w:val="21"/>
                <w:szCs w:val="21"/>
                <w:highlight w:val="none"/>
              </w:rPr>
              <w:t>第三十条  违反本办法第九条规定，网络食品交易第三方平台提供者和通过自建网站交易的食品生产经营者不具备数据备份、故障恢复等技术条件，不能保障网络食品交易数据和资料的可靠性与安全性的，由县级以上地方市场监督管理部门责令改正，给予警告；拒不改正的，处3万元罚款。</w:t>
            </w:r>
          </w:p>
        </w:tc>
      </w:tr>
      <w:tr w14:paraId="62C2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7" w:hRule="atLeast"/>
          <w:jc w:val="center"/>
        </w:trPr>
        <w:tc>
          <w:tcPr>
            <w:tcW w:w="307" w:type="pct"/>
            <w:noWrap w:val="0"/>
            <w:vAlign w:val="center"/>
          </w:tcPr>
          <w:p w14:paraId="530A061C">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rPr>
              <w:t>43</w:t>
            </w:r>
          </w:p>
        </w:tc>
        <w:tc>
          <w:tcPr>
            <w:tcW w:w="901" w:type="pct"/>
            <w:noWrap w:val="0"/>
            <w:vAlign w:val="center"/>
          </w:tcPr>
          <w:p w14:paraId="0BAE87C3">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网络食品交易第三方平台提供者未按要求建立入网食品生产经营者审查登记、食品安全自查、食品安全违法行为制止及报告、严重违法行为平台服务停止、食品安全投诉举报处理等制度的或者未公开以上制度的。</w:t>
            </w:r>
          </w:p>
        </w:tc>
        <w:tc>
          <w:tcPr>
            <w:tcW w:w="790" w:type="pct"/>
            <w:noWrap w:val="0"/>
            <w:vAlign w:val="center"/>
          </w:tcPr>
          <w:p w14:paraId="221EAFB5">
            <w:pPr>
              <w:keepNext w:val="0"/>
              <w:keepLines w:val="0"/>
              <w:pageBreakBefore w:val="0"/>
              <w:widowControl/>
              <w:spacing w:line="280" w:lineRule="exac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1E0A8B80">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《网络食品安全违法行为查处办法》</w:t>
            </w:r>
            <w:r>
              <w:rPr>
                <w:rStyle w:val="185"/>
                <w:rFonts w:hint="eastAsia" w:ascii="Times New Roman" w:hAnsi="Times New Roman" w:eastAsia="仿宋_GB2312" w:cs="仿宋_GB2312"/>
                <w:color w:val="auto"/>
                <w:sz w:val="21"/>
                <w:szCs w:val="21"/>
                <w:highlight w:val="none"/>
              </w:rPr>
              <w:t>第十条  网络食品交易第三方平台提供者应当建立入网食品生产经营者审查登记、食品安全自查、食品安全违法行为制止及报告、严重违法行为平台服务停止、食品安全投诉举报处理等制度</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并在网络平台上公开。</w:t>
            </w:r>
          </w:p>
          <w:p w14:paraId="2C87A2B3">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lang w:val="en-US" w:eastAsia="zh-CN" w:bidi="ar-SA"/>
              </w:rPr>
            </w:pPr>
            <w:r>
              <w:rPr>
                <w:rStyle w:val="185"/>
                <w:rFonts w:hint="eastAsia" w:ascii="Times New Roman" w:hAnsi="Times New Roman" w:eastAsia="仿宋_GB2312" w:cs="仿宋_GB2312"/>
                <w:color w:val="auto"/>
                <w:sz w:val="21"/>
                <w:szCs w:val="21"/>
                <w:highlight w:val="none"/>
              </w:rPr>
              <w:t>第三十一条  违反本办法第十条规定，网络食品交易第三方平台提供者未按要求建立入网食品生产经营者审查登记、食品安全自查、食品安全违法行为制止及报告、严重违法行为平台服务停止、食品安全投诉举报处理等制度的或者未公开以上制度的，由县级以上地方市场监督管理部门责令改正，给予警告；拒不改正的，处5000元以上3万元以下罚款。</w:t>
            </w:r>
          </w:p>
        </w:tc>
      </w:tr>
      <w:tr w14:paraId="49E9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jc w:val="center"/>
        </w:trPr>
        <w:tc>
          <w:tcPr>
            <w:tcW w:w="307" w:type="pct"/>
            <w:noWrap w:val="0"/>
            <w:vAlign w:val="center"/>
          </w:tcPr>
          <w:p w14:paraId="66E8AC11">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rPr>
              <w:t>44</w:t>
            </w:r>
          </w:p>
        </w:tc>
        <w:tc>
          <w:tcPr>
            <w:tcW w:w="901" w:type="pct"/>
            <w:noWrap w:val="0"/>
            <w:vAlign w:val="center"/>
          </w:tcPr>
          <w:p w14:paraId="5849DE2E">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网络食品交易第三方平台提供者未建立入网食品生产经营者档案、记录入网食品生产经营者相关信息的。</w:t>
            </w:r>
          </w:p>
        </w:tc>
        <w:tc>
          <w:tcPr>
            <w:tcW w:w="790" w:type="pct"/>
            <w:noWrap w:val="0"/>
            <w:vAlign w:val="center"/>
          </w:tcPr>
          <w:p w14:paraId="7941EA3E">
            <w:pPr>
              <w:keepNext w:val="0"/>
              <w:keepLines w:val="0"/>
              <w:pageBreakBefore w:val="0"/>
              <w:widowControl/>
              <w:spacing w:line="280" w:lineRule="exac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7A19C0C2">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《网络食品安全违法行为查处办法》</w:t>
            </w:r>
            <w:r>
              <w:rPr>
                <w:rStyle w:val="185"/>
                <w:rFonts w:hint="eastAsia" w:ascii="Times New Roman" w:hAnsi="Times New Roman" w:eastAsia="仿宋_GB2312" w:cs="仿宋_GB2312"/>
                <w:color w:val="auto"/>
                <w:sz w:val="21"/>
                <w:szCs w:val="21"/>
                <w:highlight w:val="none"/>
              </w:rPr>
              <w:t>第十二条  网络食品交易第三方平台提供者应当建立入网食品生产经营者档案</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记录入网食品生产经营者的基本情况、食品安全管理人员等信息。</w:t>
            </w:r>
          </w:p>
          <w:p w14:paraId="67345BCC">
            <w:pPr>
              <w:keepNext w:val="0"/>
              <w:keepLines w:val="0"/>
              <w:pageBreakBefore w:val="0"/>
              <w:widowControl/>
              <w:spacing w:line="280" w:lineRule="exact"/>
              <w:jc w:val="left"/>
              <w:rPr>
                <w:rFonts w:hint="eastAsia" w:ascii="Times New Roman" w:hAnsi="Times New Roman" w:eastAsia="仿宋_GB2312" w:cs="仿宋_GB2312"/>
                <w:b/>
                <w:bCs/>
                <w:strike/>
                <w:color w:val="auto"/>
                <w:sz w:val="21"/>
                <w:szCs w:val="21"/>
                <w:highlight w:val="none"/>
                <w:lang w:val="en-US" w:eastAsia="zh-CN" w:bidi="ar-SA"/>
              </w:rPr>
            </w:pPr>
            <w:r>
              <w:rPr>
                <w:rStyle w:val="185"/>
                <w:rFonts w:hint="eastAsia" w:ascii="Times New Roman" w:hAnsi="Times New Roman" w:eastAsia="仿宋_GB2312" w:cs="仿宋_GB2312"/>
                <w:color w:val="auto"/>
                <w:sz w:val="21"/>
                <w:szCs w:val="21"/>
                <w:highlight w:val="none"/>
              </w:rPr>
              <w:t>第三十三条  违反本办法第十二条规定，网络食品交易第三方平台提供者未建立入网食品生产经营者档案、记录入网食品生产经营者相关信息的，由县级以上地方市场监督管理部门责令改正，给予警告；拒不改正的，处5000元以上3万元以下罚款。</w:t>
            </w:r>
          </w:p>
        </w:tc>
      </w:tr>
      <w:tr w14:paraId="0AE2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307" w:type="pct"/>
            <w:noWrap w:val="0"/>
            <w:vAlign w:val="center"/>
          </w:tcPr>
          <w:p w14:paraId="46DF0246">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rPr>
              <w:t>45</w:t>
            </w:r>
          </w:p>
        </w:tc>
        <w:tc>
          <w:tcPr>
            <w:tcW w:w="901" w:type="pct"/>
            <w:noWrap w:val="0"/>
            <w:vAlign w:val="center"/>
          </w:tcPr>
          <w:p w14:paraId="51BC6CFF">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网络食品交易第三方平台提供者未设置专门的网络食品安全管理机构或者指定专职食品安全管理人员对平台上的食品安全经营行为及信息进行检查的。</w:t>
            </w:r>
          </w:p>
        </w:tc>
        <w:tc>
          <w:tcPr>
            <w:tcW w:w="790" w:type="pct"/>
            <w:noWrap w:val="0"/>
            <w:vAlign w:val="center"/>
          </w:tcPr>
          <w:p w14:paraId="2B1D3DFF">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12A35FC3">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《网络食品安全违法行为查处办法》</w:t>
            </w:r>
            <w:r>
              <w:rPr>
                <w:rStyle w:val="185"/>
                <w:rFonts w:hint="eastAsia" w:ascii="Times New Roman" w:hAnsi="Times New Roman" w:eastAsia="仿宋_GB2312" w:cs="仿宋_GB2312"/>
                <w:color w:val="auto"/>
                <w:sz w:val="21"/>
                <w:szCs w:val="21"/>
                <w:highlight w:val="none"/>
              </w:rPr>
              <w:t>第十四条第一款</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网络食品交易第三方平台提供者应当设置专门的网络食品安全管理机构或者指定专职食品安全管理人员</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对平台上的食品经营行为及信息进行检查。</w:t>
            </w:r>
          </w:p>
          <w:p w14:paraId="12262F5C">
            <w:pPr>
              <w:keepNext w:val="0"/>
              <w:keepLines w:val="0"/>
              <w:pageBreakBefore w:val="0"/>
              <w:widowControl/>
              <w:spacing w:line="280" w:lineRule="exact"/>
              <w:jc w:val="left"/>
              <w:rPr>
                <w:rFonts w:hint="eastAsia" w:ascii="Times New Roman" w:hAnsi="Times New Roman" w:eastAsia="仿宋_GB2312" w:cs="仿宋_GB2312"/>
                <w:b/>
                <w:bCs/>
                <w:color w:val="auto"/>
                <w:sz w:val="21"/>
                <w:szCs w:val="21"/>
                <w:highlight w:val="none"/>
                <w:lang w:val="en-US" w:eastAsia="zh-CN" w:bidi="ar-SA"/>
              </w:rPr>
            </w:pPr>
            <w:r>
              <w:rPr>
                <w:rStyle w:val="185"/>
                <w:rFonts w:hint="eastAsia" w:ascii="Times New Roman" w:hAnsi="Times New Roman" w:eastAsia="仿宋_GB2312" w:cs="仿宋_GB2312"/>
                <w:color w:val="auto"/>
                <w:sz w:val="21"/>
                <w:szCs w:val="21"/>
                <w:highlight w:val="none"/>
              </w:rPr>
              <w:t>第三十五条  违反本办法第十四条规定，网络食品交易第三方平台提供者未设置专门的网络食品安全管理机构或者指定专职食品安全管理人员对平台上的食品安全经营行为及信息进行检查的，由县级以上地方市场监督管理部门责令改正，给予警告；拒不改正的，处5000元以上3万元以下罚款。</w:t>
            </w:r>
          </w:p>
        </w:tc>
      </w:tr>
      <w:tr w14:paraId="17DA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2" w:hRule="atLeast"/>
          <w:jc w:val="center"/>
        </w:trPr>
        <w:tc>
          <w:tcPr>
            <w:tcW w:w="307" w:type="pct"/>
            <w:noWrap w:val="0"/>
            <w:vAlign w:val="center"/>
          </w:tcPr>
          <w:p w14:paraId="4015E9C4">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bidi="ar-SA"/>
              </w:rPr>
              <w:t>46</w:t>
            </w:r>
          </w:p>
        </w:tc>
        <w:tc>
          <w:tcPr>
            <w:tcW w:w="901" w:type="pct"/>
            <w:noWrap w:val="0"/>
            <w:vAlign w:val="center"/>
          </w:tcPr>
          <w:p w14:paraId="1B9A2E93">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入网食品生产经营者未按要求进行信息公示的</w:t>
            </w:r>
          </w:p>
        </w:tc>
        <w:tc>
          <w:tcPr>
            <w:tcW w:w="790" w:type="pct"/>
            <w:noWrap w:val="0"/>
            <w:vAlign w:val="center"/>
          </w:tcPr>
          <w:p w14:paraId="64018A60">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7DA3676D">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《网络食品安全违法行为查处办法》</w:t>
            </w:r>
            <w:r>
              <w:rPr>
                <w:rStyle w:val="185"/>
                <w:rFonts w:hint="eastAsia" w:ascii="Times New Roman" w:hAnsi="Times New Roman" w:eastAsia="仿宋_GB2312" w:cs="仿宋_GB2312"/>
                <w:color w:val="auto"/>
                <w:sz w:val="21"/>
                <w:szCs w:val="21"/>
                <w:highlight w:val="none"/>
              </w:rPr>
              <w:t>第十八条  通过第三方平台进行交易的食品生产经营者应当在其经营活动主页面显著位置公示其食品生产经营许可证。通过自建网站交易的食品生产经营者应当在其网站首页显著位置公示营业执照、食品生产经营许可证。餐饮服务提供者还应当同时公示其餐饮服务食品安全监督量化分级管理信息。相关信息应当画面清晰</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容易辨识。第十九条第一款</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入网销售保健食品、特殊医学用途配方食品、婴幼儿配方乳粉的食品生产经营者，除依照本办法第十八条的规定公示相关信息外，还应当依法公示产品注册证书或者备案凭证，持有广告审查批准文号的还应当公示广告审查批准文号，并链接至市场监督管理部门网站对应的数据查询页面。保健食品还应当显著标明“本品不能代替药物”。特殊医学用途配方食品中特定全营养配方食品不得进行网络交易。</w:t>
            </w:r>
          </w:p>
          <w:p w14:paraId="7E55DA4F">
            <w:pPr>
              <w:keepNext w:val="0"/>
              <w:keepLines w:val="0"/>
              <w:pageBreakBefore w:val="0"/>
              <w:widowControl/>
              <w:spacing w:line="280" w:lineRule="exact"/>
              <w:jc w:val="left"/>
              <w:rPr>
                <w:rFonts w:hint="eastAsia" w:ascii="Times New Roman" w:hAnsi="Times New Roman" w:eastAsia="仿宋_GB2312" w:cs="仿宋_GB2312"/>
                <w:b/>
                <w:bCs/>
                <w:color w:val="auto"/>
                <w:sz w:val="21"/>
                <w:szCs w:val="21"/>
                <w:highlight w:val="none"/>
                <w:lang w:val="en-US" w:eastAsia="zh-CN" w:bidi="ar-SA"/>
              </w:rPr>
            </w:pPr>
            <w:r>
              <w:rPr>
                <w:rStyle w:val="185"/>
                <w:rFonts w:hint="eastAsia" w:ascii="Times New Roman" w:hAnsi="Times New Roman" w:eastAsia="仿宋_GB2312" w:cs="仿宋_GB2312"/>
                <w:color w:val="auto"/>
                <w:sz w:val="21"/>
                <w:szCs w:val="21"/>
                <w:highlight w:val="none"/>
              </w:rPr>
              <w:t>第四十条  违反本办法第十八条规定</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入网食品生产经营者未按要求进行信息公示的</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由县级以上地方</w:t>
            </w:r>
            <w:r>
              <w:rPr>
                <w:rStyle w:val="185"/>
                <w:rFonts w:hint="eastAsia" w:ascii="Times New Roman" w:hAnsi="Times New Roman" w:eastAsia="仿宋_GB2312" w:cs="仿宋_GB2312"/>
                <w:color w:val="auto"/>
                <w:sz w:val="21"/>
                <w:szCs w:val="21"/>
                <w:highlight w:val="none"/>
                <w:lang w:eastAsia="zh-CN"/>
              </w:rPr>
              <w:t>市场</w:t>
            </w:r>
            <w:r>
              <w:rPr>
                <w:rStyle w:val="185"/>
                <w:rFonts w:hint="eastAsia" w:ascii="Times New Roman" w:hAnsi="Times New Roman" w:eastAsia="仿宋_GB2312" w:cs="仿宋_GB2312"/>
                <w:color w:val="auto"/>
                <w:sz w:val="21"/>
                <w:szCs w:val="21"/>
                <w:highlight w:val="none"/>
              </w:rPr>
              <w:t>监督管理部门责令改正</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给予警告</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拒不改正的</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处5000元以上3万元以下罚款。第四十一条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违反本办法第十九条第一款规定，食品生产经营者未按要求公示特殊食品相关信息的，由县级以上地方市场监督管理部门责令改正，给予警告；拒不改正的，处5000元以上3万元以下罚款。</w:t>
            </w:r>
          </w:p>
        </w:tc>
      </w:tr>
      <w:tr w14:paraId="7A30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jc w:val="center"/>
        </w:trPr>
        <w:tc>
          <w:tcPr>
            <w:tcW w:w="307" w:type="pct"/>
            <w:noWrap w:val="0"/>
            <w:vAlign w:val="center"/>
          </w:tcPr>
          <w:p w14:paraId="7C6EBE81">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bidi="ar-SA"/>
              </w:rPr>
              <w:t>47</w:t>
            </w:r>
          </w:p>
        </w:tc>
        <w:tc>
          <w:tcPr>
            <w:tcW w:w="901" w:type="pct"/>
            <w:noWrap w:val="0"/>
            <w:vAlign w:val="center"/>
          </w:tcPr>
          <w:p w14:paraId="045BB9D1">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发布农药、兽药广告违反有关的法律法规</w:t>
            </w:r>
            <w:r>
              <w:rPr>
                <w:rFonts w:hint="eastAsia" w:eastAsia="仿宋_GB2312" w:cs="仿宋_GB2312"/>
                <w:color w:val="auto"/>
                <w:sz w:val="21"/>
                <w:szCs w:val="21"/>
                <w:highlight w:val="none"/>
                <w:lang w:eastAsia="zh-CN"/>
              </w:rPr>
              <w:t>，</w:t>
            </w:r>
            <w:r>
              <w:rPr>
                <w:rFonts w:hint="eastAsia" w:ascii="Times New Roman" w:hAnsi="Times New Roman" w:eastAsia="仿宋_GB2312" w:cs="仿宋_GB2312"/>
                <w:color w:val="auto"/>
                <w:sz w:val="21"/>
                <w:szCs w:val="21"/>
                <w:highlight w:val="none"/>
              </w:rPr>
              <w:t>未标明广告审查批准文号的</w:t>
            </w:r>
          </w:p>
        </w:tc>
        <w:tc>
          <w:tcPr>
            <w:tcW w:w="790" w:type="pct"/>
            <w:noWrap w:val="0"/>
            <w:vAlign w:val="center"/>
          </w:tcPr>
          <w:p w14:paraId="6AB27443">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w:t>
            </w:r>
            <w:r>
              <w:rPr>
                <w:rFonts w:hint="eastAsia" w:ascii="Times New Roman" w:hAnsi="Times New Roman" w:eastAsia="仿宋_GB2312" w:cs="仿宋_GB2312"/>
                <w:color w:val="auto"/>
                <w:sz w:val="21"/>
                <w:szCs w:val="21"/>
                <w:highlight w:val="none"/>
                <w:lang w:val="en-US" w:eastAsia="zh-CN"/>
              </w:rPr>
              <w:t>违法</w:t>
            </w:r>
            <w:r>
              <w:rPr>
                <w:rFonts w:hint="eastAsia" w:ascii="Times New Roman" w:hAnsi="Times New Roman" w:eastAsia="仿宋_GB2312" w:cs="仿宋_GB2312"/>
                <w:color w:val="auto"/>
                <w:sz w:val="21"/>
                <w:szCs w:val="21"/>
                <w:highlight w:val="none"/>
              </w:rPr>
              <w:t>，已取得广告审查批准文号，违法行为轻微并及时纠正，没有造成危害后果的</w:t>
            </w:r>
          </w:p>
        </w:tc>
        <w:tc>
          <w:tcPr>
            <w:tcW w:w="3000" w:type="pct"/>
            <w:noWrap w:val="0"/>
            <w:vAlign w:val="center"/>
          </w:tcPr>
          <w:p w14:paraId="2F500D53">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《兽药广告审查发布规定》</w:t>
            </w:r>
            <w:r>
              <w:rPr>
                <w:rStyle w:val="185"/>
                <w:rFonts w:hint="eastAsia" w:ascii="Times New Roman" w:hAnsi="Times New Roman" w:eastAsia="仿宋_GB2312" w:cs="仿宋_GB2312"/>
                <w:color w:val="auto"/>
                <w:sz w:val="21"/>
                <w:szCs w:val="21"/>
                <w:highlight w:val="none"/>
              </w:rPr>
              <w:t>第十条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兽药广告的批准文号应当列为广告内容同时发布。</w:t>
            </w:r>
          </w:p>
          <w:p w14:paraId="3CB42C81">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5"/>
                <w:rFonts w:hint="eastAsia" w:ascii="Times New Roman" w:hAnsi="Times New Roman" w:eastAsia="仿宋_GB2312" w:cs="仿宋_GB2312"/>
                <w:color w:val="auto"/>
                <w:sz w:val="21"/>
                <w:szCs w:val="21"/>
                <w:highlight w:val="none"/>
              </w:rPr>
              <w:t>第十二条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14:paraId="45326561">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《农药广告审查发布规定》</w:t>
            </w:r>
            <w:r>
              <w:rPr>
                <w:rStyle w:val="185"/>
                <w:rFonts w:hint="eastAsia" w:ascii="Times New Roman" w:hAnsi="Times New Roman" w:eastAsia="仿宋_GB2312" w:cs="仿宋_GB2312"/>
                <w:color w:val="auto"/>
                <w:sz w:val="21"/>
                <w:szCs w:val="21"/>
                <w:highlight w:val="none"/>
              </w:rPr>
              <w:t>第十一条  农药广告的批准文号应当列为广告内容同时发布。</w:t>
            </w:r>
          </w:p>
          <w:p w14:paraId="55D1A78D">
            <w:pPr>
              <w:keepNext w:val="0"/>
              <w:keepLines w:val="0"/>
              <w:pageBreakBefore w:val="0"/>
              <w:widowControl/>
              <w:spacing w:line="280" w:lineRule="exact"/>
              <w:jc w:val="left"/>
              <w:rPr>
                <w:rFonts w:hint="eastAsia" w:ascii="Times New Roman" w:hAnsi="Times New Roman" w:eastAsia="仿宋_GB2312" w:cs="仿宋_GB2312"/>
                <w:b/>
                <w:bCs/>
                <w:color w:val="auto"/>
                <w:sz w:val="21"/>
                <w:szCs w:val="21"/>
                <w:highlight w:val="none"/>
                <w:lang w:val="en-US" w:eastAsia="zh-CN" w:bidi="ar-SA"/>
              </w:rPr>
            </w:pPr>
            <w:r>
              <w:rPr>
                <w:rStyle w:val="185"/>
                <w:rFonts w:hint="eastAsia" w:ascii="Times New Roman" w:hAnsi="Times New Roman" w:eastAsia="仿宋_GB2312" w:cs="仿宋_GB2312"/>
                <w:color w:val="auto"/>
                <w:sz w:val="21"/>
                <w:szCs w:val="21"/>
                <w:highlight w:val="none"/>
              </w:rPr>
              <w:t>第十三条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r>
      <w:tr w14:paraId="1C73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jc w:val="center"/>
        </w:trPr>
        <w:tc>
          <w:tcPr>
            <w:tcW w:w="307" w:type="pct"/>
            <w:noWrap w:val="0"/>
            <w:vAlign w:val="center"/>
          </w:tcPr>
          <w:p w14:paraId="7B340259">
            <w:pPr>
              <w:widowControl/>
              <w:spacing w:line="280" w:lineRule="exact"/>
              <w:jc w:val="center"/>
              <w:rPr>
                <w:rFonts w:hint="eastAsia" w:ascii="Times New Roman" w:hAnsi="Times New Roman" w:eastAsia="仿宋" w:cs="仿宋"/>
                <w:color w:val="auto"/>
                <w:sz w:val="21"/>
                <w:szCs w:val="21"/>
                <w:highlight w:val="none"/>
                <w:lang w:val="en-US" w:eastAsia="zh-CN"/>
              </w:rPr>
            </w:pPr>
            <w:r>
              <w:rPr>
                <w:rFonts w:hint="eastAsia" w:ascii="Times New Roman" w:hAnsi="Times New Roman" w:eastAsia="仿宋" w:cs="仿宋"/>
                <w:color w:val="auto"/>
                <w:sz w:val="21"/>
                <w:szCs w:val="21"/>
                <w:highlight w:val="none"/>
                <w:lang w:val="en-US" w:eastAsia="zh-CN" w:bidi="ar-SA"/>
              </w:rPr>
              <w:t>48</w:t>
            </w:r>
          </w:p>
        </w:tc>
        <w:tc>
          <w:tcPr>
            <w:tcW w:w="901" w:type="pct"/>
            <w:noWrap w:val="0"/>
            <w:vAlign w:val="center"/>
          </w:tcPr>
          <w:p w14:paraId="2A2446FF">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广告中未全部明示附带赠送商品或服务的品种、规格、数量、期限和方式。</w:t>
            </w:r>
          </w:p>
        </w:tc>
        <w:tc>
          <w:tcPr>
            <w:tcW w:w="790" w:type="pct"/>
            <w:noWrap w:val="0"/>
            <w:vAlign w:val="center"/>
          </w:tcPr>
          <w:p w14:paraId="44ED7833">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lang w:val="en-US" w:eastAsia="zh-CN"/>
              </w:rPr>
              <w:t>属于首次违法，</w:t>
            </w:r>
            <w:r>
              <w:rPr>
                <w:rFonts w:hint="eastAsia" w:ascii="Times New Roman" w:hAnsi="Times New Roman" w:eastAsia="仿宋_GB2312" w:cs="仿宋_GB2312"/>
                <w:color w:val="auto"/>
                <w:sz w:val="21"/>
                <w:szCs w:val="21"/>
                <w:highlight w:val="none"/>
              </w:rPr>
              <w:t>附带赠送的行为已实施，未</w:t>
            </w:r>
            <w:r>
              <w:rPr>
                <w:rFonts w:hint="eastAsia" w:ascii="Times New Roman" w:hAnsi="Times New Roman" w:eastAsia="仿宋_GB2312" w:cs="仿宋_GB2312"/>
                <w:color w:val="auto"/>
                <w:sz w:val="21"/>
                <w:szCs w:val="21"/>
                <w:highlight w:val="none"/>
                <w:lang w:val="en-US" w:eastAsia="zh-CN"/>
              </w:rPr>
              <w:t>造成实质危害</w:t>
            </w:r>
            <w:r>
              <w:rPr>
                <w:rFonts w:hint="eastAsia" w:ascii="Times New Roman" w:hAnsi="Times New Roman" w:eastAsia="仿宋_GB2312" w:cs="仿宋_GB2312"/>
                <w:color w:val="auto"/>
                <w:sz w:val="21"/>
                <w:szCs w:val="21"/>
                <w:highlight w:val="none"/>
                <w:lang w:eastAsia="zh-CN"/>
              </w:rPr>
              <w:t>，</w:t>
            </w:r>
            <w:r>
              <w:rPr>
                <w:rFonts w:hint="eastAsia" w:ascii="Times New Roman" w:hAnsi="Times New Roman" w:eastAsia="仿宋_GB2312" w:cs="仿宋_GB2312"/>
                <w:color w:val="auto"/>
                <w:sz w:val="21"/>
                <w:szCs w:val="21"/>
                <w:highlight w:val="none"/>
              </w:rPr>
              <w:t>立即自行改正或在行政机关责令改正的期限内改正</w:t>
            </w:r>
          </w:p>
        </w:tc>
        <w:tc>
          <w:tcPr>
            <w:tcW w:w="3000" w:type="pct"/>
            <w:noWrap w:val="0"/>
            <w:vAlign w:val="center"/>
          </w:tcPr>
          <w:p w14:paraId="7B639BF3">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b/>
                <w:bCs/>
                <w:color w:val="auto"/>
                <w:sz w:val="21"/>
                <w:szCs w:val="21"/>
                <w:highlight w:val="none"/>
              </w:rPr>
              <w:t>《</w:t>
            </w:r>
            <w:r>
              <w:rPr>
                <w:rFonts w:hint="eastAsia" w:ascii="Times New Roman" w:hAnsi="Times New Roman" w:eastAsia="仿宋_GB2312" w:cs="仿宋_GB2312"/>
                <w:b/>
                <w:bCs/>
                <w:color w:val="auto"/>
                <w:sz w:val="21"/>
                <w:szCs w:val="21"/>
                <w:highlight w:val="none"/>
                <w:lang w:val="en-US" w:eastAsia="zh-CN"/>
              </w:rPr>
              <w:t>中华人民共和国</w:t>
            </w:r>
            <w:r>
              <w:rPr>
                <w:rFonts w:hint="eastAsia" w:ascii="Times New Roman" w:hAnsi="Times New Roman" w:eastAsia="仿宋_GB2312" w:cs="仿宋_GB2312"/>
                <w:b/>
                <w:bCs/>
                <w:color w:val="auto"/>
                <w:sz w:val="21"/>
                <w:szCs w:val="21"/>
                <w:highlight w:val="none"/>
              </w:rPr>
              <w:t>广告法》</w:t>
            </w:r>
            <w:r>
              <w:rPr>
                <w:rFonts w:hint="eastAsia" w:ascii="Times New Roman" w:hAnsi="Times New Roman" w:eastAsia="仿宋_GB2312" w:cs="仿宋_GB2312"/>
                <w:color w:val="auto"/>
                <w:sz w:val="21"/>
                <w:szCs w:val="21"/>
                <w:highlight w:val="none"/>
              </w:rPr>
              <w:t>第八条第二款  广告中表明推销的商品或者服务附带赠送的，应当明示所附带赠送商品或者服务的品种、规格、数量、期限和方式。</w:t>
            </w:r>
          </w:p>
          <w:p w14:paraId="30C228C8">
            <w:pPr>
              <w:keepNext w:val="0"/>
              <w:keepLines w:val="0"/>
              <w:pageBreakBefore w:val="0"/>
              <w:widowControl/>
              <w:spacing w:line="280" w:lineRule="exact"/>
              <w:ind w:firstLine="0"/>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第五十九条</w:t>
            </w:r>
            <w:r>
              <w:rPr>
                <w:rFonts w:hint="eastAsia" w:ascii="Times New Roman" w:hAnsi="Times New Roman" w:eastAsia="仿宋_GB2312" w:cs="仿宋_GB2312"/>
                <w:color w:val="auto"/>
                <w:sz w:val="21"/>
                <w:szCs w:val="21"/>
                <w:highlight w:val="none"/>
                <w:lang w:val="en-US" w:eastAsia="zh-CN"/>
              </w:rPr>
              <w:t xml:space="preserve"> </w:t>
            </w:r>
            <w:r>
              <w:rPr>
                <w:rFonts w:hint="eastAsia" w:eastAsia="仿宋_GB2312" w:cs="仿宋_GB2312"/>
                <w:color w:val="auto"/>
                <w:sz w:val="21"/>
                <w:szCs w:val="21"/>
                <w:highlight w:val="none"/>
                <w:lang w:val="en-US" w:eastAsia="zh-CN"/>
              </w:rPr>
              <w:t xml:space="preserve"> </w:t>
            </w:r>
            <w:r>
              <w:rPr>
                <w:rFonts w:hint="eastAsia" w:ascii="Times New Roman" w:hAnsi="Times New Roman" w:eastAsia="仿宋_GB2312" w:cs="仿宋_GB2312"/>
                <w:color w:val="auto"/>
                <w:sz w:val="21"/>
                <w:szCs w:val="21"/>
                <w:highlight w:val="none"/>
              </w:rPr>
              <w:t>有下列行为之一的，由市场监督管理部门责令停止发布广告，对广告主处十万元以下的罚款：（一）广告内容违反本法第八条规定的；</w:t>
            </w:r>
          </w:p>
          <w:p w14:paraId="016BAE95">
            <w:pPr>
              <w:keepNext w:val="0"/>
              <w:keepLines w:val="0"/>
              <w:pageBreakBefore w:val="0"/>
              <w:widowControl/>
              <w:spacing w:line="280" w:lineRule="exact"/>
              <w:ind w:firstLine="0"/>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广告经营者、广告发布者明知或者应知有前款规定违法行为仍设计、制作、代理、发布的，由市场监督管理部门处十万元以下的罚款。</w:t>
            </w:r>
          </w:p>
        </w:tc>
      </w:tr>
      <w:tr w14:paraId="7828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jc w:val="center"/>
        </w:trPr>
        <w:tc>
          <w:tcPr>
            <w:tcW w:w="307" w:type="pct"/>
            <w:noWrap w:val="0"/>
            <w:vAlign w:val="center"/>
          </w:tcPr>
          <w:p w14:paraId="3D6675D8">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bidi="ar-SA"/>
              </w:rPr>
              <w:t>49</w:t>
            </w:r>
          </w:p>
        </w:tc>
        <w:tc>
          <w:tcPr>
            <w:tcW w:w="901" w:type="pct"/>
            <w:noWrap w:val="0"/>
            <w:vAlign w:val="center"/>
          </w:tcPr>
          <w:p w14:paraId="480FA421">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使用“国家级”“最高级”“最佳”等用语发布广告的</w:t>
            </w:r>
          </w:p>
        </w:tc>
        <w:tc>
          <w:tcPr>
            <w:tcW w:w="790" w:type="pct"/>
            <w:noWrap w:val="0"/>
            <w:vAlign w:val="center"/>
          </w:tcPr>
          <w:p w14:paraId="038EC520">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属于首次违法，在自有经营场所或者互联网自媒体</w:t>
            </w:r>
            <w:r>
              <w:rPr>
                <w:rFonts w:hint="eastAsia" w:ascii="Times New Roman" w:hAnsi="Times New Roman" w:eastAsia="仿宋_GB2312" w:cs="仿宋_GB2312"/>
                <w:color w:val="auto"/>
                <w:sz w:val="21"/>
                <w:szCs w:val="21"/>
                <w:highlight w:val="none"/>
                <w:lang w:val="en-US" w:eastAsia="zh-CN"/>
              </w:rPr>
              <w:t>发布</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val="en-US" w:eastAsia="zh-CN"/>
              </w:rPr>
              <w:t>广告发布时间短，影响范围小，不易造成公众误解，</w:t>
            </w:r>
            <w:r>
              <w:rPr>
                <w:rFonts w:hint="eastAsia" w:ascii="Times New Roman" w:hAnsi="Times New Roman" w:eastAsia="仿宋_GB2312" w:cs="仿宋_GB2312"/>
                <w:color w:val="auto"/>
                <w:sz w:val="21"/>
                <w:szCs w:val="21"/>
                <w:highlight w:val="none"/>
              </w:rPr>
              <w:t>未造成实质危害后果，并在责令改正期限内及时改正的</w:t>
            </w:r>
          </w:p>
        </w:tc>
        <w:tc>
          <w:tcPr>
            <w:tcW w:w="3000" w:type="pct"/>
            <w:noWrap w:val="0"/>
            <w:vAlign w:val="center"/>
          </w:tcPr>
          <w:p w14:paraId="6AE12213">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《中华人民共和国广告法》</w:t>
            </w:r>
            <w:r>
              <w:rPr>
                <w:rStyle w:val="185"/>
                <w:rFonts w:hint="eastAsia" w:ascii="Times New Roman" w:hAnsi="Times New Roman" w:eastAsia="仿宋_GB2312" w:cs="仿宋_GB2312"/>
                <w:color w:val="auto"/>
                <w:sz w:val="21"/>
                <w:szCs w:val="21"/>
                <w:highlight w:val="none"/>
              </w:rPr>
              <w:t>第九条第三项</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广告不得有下列情形：（三）使用“国家级”“最高级”“最佳”等用语；</w:t>
            </w:r>
          </w:p>
          <w:p w14:paraId="32708B4D">
            <w:pPr>
              <w:keepNext w:val="0"/>
              <w:keepLines w:val="0"/>
              <w:pageBreakBefore w:val="0"/>
              <w:widowControl/>
              <w:spacing w:line="280" w:lineRule="exact"/>
              <w:jc w:val="left"/>
              <w:rPr>
                <w:rFonts w:hint="eastAsia" w:ascii="Times New Roman" w:hAnsi="Times New Roman" w:eastAsia="仿宋_GB2312" w:cs="仿宋_GB2312"/>
                <w:b/>
                <w:bCs/>
                <w:strike/>
                <w:color w:val="auto"/>
                <w:sz w:val="21"/>
                <w:szCs w:val="21"/>
                <w:highlight w:val="none"/>
                <w:lang w:val="en-US" w:eastAsia="zh-CN" w:bidi="ar-SA"/>
              </w:rPr>
            </w:pPr>
            <w:r>
              <w:rPr>
                <w:rStyle w:val="185"/>
                <w:rFonts w:hint="eastAsia" w:ascii="Times New Roman" w:hAnsi="Times New Roman" w:eastAsia="仿宋_GB2312" w:cs="仿宋_GB2312"/>
                <w:color w:val="auto"/>
                <w:sz w:val="21"/>
                <w:szCs w:val="21"/>
                <w:highlight w:val="none"/>
              </w:rPr>
              <w:t>第五十七条第一项</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p>
        </w:tc>
      </w:tr>
      <w:tr w14:paraId="0110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307" w:type="pct"/>
            <w:noWrap w:val="0"/>
            <w:vAlign w:val="center"/>
          </w:tcPr>
          <w:p w14:paraId="485580B3">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bidi="ar-SA"/>
              </w:rPr>
              <w:t>50</w:t>
            </w:r>
          </w:p>
        </w:tc>
        <w:tc>
          <w:tcPr>
            <w:tcW w:w="901" w:type="pct"/>
            <w:noWrap w:val="0"/>
            <w:vAlign w:val="center"/>
          </w:tcPr>
          <w:p w14:paraId="1AF83FFB">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广告引证内容未在广告中表明出处的</w:t>
            </w:r>
          </w:p>
        </w:tc>
        <w:tc>
          <w:tcPr>
            <w:tcW w:w="790" w:type="pct"/>
            <w:noWrap w:val="0"/>
            <w:vAlign w:val="center"/>
          </w:tcPr>
          <w:p w14:paraId="58D533CA">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属于首次违法，引证内容合法有据，违法行为轻微，在责令改正期限内改正的</w:t>
            </w:r>
          </w:p>
        </w:tc>
        <w:tc>
          <w:tcPr>
            <w:tcW w:w="3000" w:type="pct"/>
            <w:noWrap w:val="0"/>
            <w:vAlign w:val="center"/>
          </w:tcPr>
          <w:p w14:paraId="0EC6A928">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《中华人民共和国广告法》</w:t>
            </w:r>
            <w:r>
              <w:rPr>
                <w:rStyle w:val="185"/>
                <w:rFonts w:hint="eastAsia" w:ascii="Times New Roman" w:hAnsi="Times New Roman" w:eastAsia="仿宋_GB2312" w:cs="仿宋_GB2312"/>
                <w:color w:val="auto"/>
                <w:sz w:val="21"/>
                <w:szCs w:val="21"/>
                <w:highlight w:val="none"/>
              </w:rPr>
              <w:t>第十一条第二款</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广告使用数据、统计资料、调查结果、文摘、引用语等引证内容的，应当真实、准确，并表明出处。引证内容有适用范围和有效期限的，应当明确表示。</w:t>
            </w:r>
          </w:p>
          <w:p w14:paraId="66719596">
            <w:pPr>
              <w:keepNext w:val="0"/>
              <w:keepLines w:val="0"/>
              <w:pageBreakBefore w:val="0"/>
              <w:widowControl/>
              <w:spacing w:line="280" w:lineRule="exact"/>
              <w:jc w:val="left"/>
              <w:rPr>
                <w:rFonts w:hint="eastAsia" w:ascii="Times New Roman" w:hAnsi="Times New Roman" w:eastAsia="仿宋_GB2312" w:cs="仿宋_GB2312"/>
                <w:b/>
                <w:bCs/>
                <w:color w:val="auto"/>
                <w:sz w:val="21"/>
                <w:szCs w:val="21"/>
                <w:highlight w:val="none"/>
                <w:lang w:val="en-US" w:eastAsia="zh-CN" w:bidi="ar-SA"/>
              </w:rPr>
            </w:pPr>
            <w:r>
              <w:rPr>
                <w:rStyle w:val="185"/>
                <w:rFonts w:hint="eastAsia" w:ascii="Times New Roman" w:hAnsi="Times New Roman" w:eastAsia="仿宋_GB2312" w:cs="仿宋_GB2312"/>
                <w:color w:val="auto"/>
                <w:sz w:val="21"/>
                <w:szCs w:val="21"/>
                <w:highlight w:val="none"/>
              </w:rPr>
              <w:t>第五十九条第一款第二项</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有下列行为之一的，由市场监督管理部门责令停止发布广告，对广告主处十万元以下的罚款：（二）广告引证内容违反本法第十一条规定的；</w:t>
            </w:r>
          </w:p>
        </w:tc>
      </w:tr>
      <w:tr w14:paraId="31EE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307" w:type="pct"/>
            <w:noWrap w:val="0"/>
            <w:vAlign w:val="center"/>
          </w:tcPr>
          <w:p w14:paraId="5C954870">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bidi="ar-SA"/>
              </w:rPr>
              <w:t>51</w:t>
            </w:r>
          </w:p>
        </w:tc>
        <w:tc>
          <w:tcPr>
            <w:tcW w:w="901" w:type="pct"/>
            <w:noWrap w:val="0"/>
            <w:vAlign w:val="center"/>
          </w:tcPr>
          <w:p w14:paraId="7E907FB7">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广告中涉及专利产品或者专利方法</w:t>
            </w:r>
            <w:r>
              <w:rPr>
                <w:rFonts w:hint="eastAsia" w:eastAsia="仿宋_GB2312" w:cs="仿宋_GB2312"/>
                <w:color w:val="auto"/>
                <w:sz w:val="21"/>
                <w:szCs w:val="21"/>
                <w:highlight w:val="none"/>
                <w:lang w:eastAsia="zh-CN"/>
              </w:rPr>
              <w:t>，</w:t>
            </w:r>
            <w:r>
              <w:rPr>
                <w:rFonts w:hint="eastAsia" w:ascii="Times New Roman" w:hAnsi="Times New Roman" w:eastAsia="仿宋_GB2312" w:cs="仿宋_GB2312"/>
                <w:color w:val="auto"/>
                <w:sz w:val="21"/>
                <w:szCs w:val="21"/>
                <w:highlight w:val="none"/>
              </w:rPr>
              <w:t>未标明专利号和专利种类的</w:t>
            </w:r>
          </w:p>
        </w:tc>
        <w:tc>
          <w:tcPr>
            <w:tcW w:w="790" w:type="pct"/>
            <w:noWrap w:val="0"/>
            <w:vAlign w:val="center"/>
          </w:tcPr>
          <w:p w14:paraId="4561D662">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属于首次违法，已具备合法有效专利证明，违法行为轻微，在责令改正期限内改正的</w:t>
            </w:r>
          </w:p>
        </w:tc>
        <w:tc>
          <w:tcPr>
            <w:tcW w:w="3000" w:type="pct"/>
            <w:noWrap w:val="0"/>
            <w:vAlign w:val="center"/>
          </w:tcPr>
          <w:p w14:paraId="25338DFC">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《中华人民共和国广告法》</w:t>
            </w:r>
            <w:r>
              <w:rPr>
                <w:rStyle w:val="185"/>
                <w:rFonts w:hint="eastAsia" w:ascii="Times New Roman" w:hAnsi="Times New Roman" w:eastAsia="仿宋_GB2312" w:cs="仿宋_GB2312"/>
                <w:color w:val="auto"/>
                <w:sz w:val="21"/>
                <w:szCs w:val="21"/>
                <w:highlight w:val="none"/>
              </w:rPr>
              <w:t xml:space="preserve"> 第十二条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广告中涉及专利产品或者专利方法的，应当标明专利号和专利种类。未取得专利权的，不得在广告中谎称取得专利权。禁止使用未授予专利权的专利申请和已经终止、撤销、无效的专利作广告。</w:t>
            </w:r>
          </w:p>
          <w:p w14:paraId="31832B43">
            <w:pPr>
              <w:keepNext w:val="0"/>
              <w:keepLines w:val="0"/>
              <w:pageBreakBefore w:val="0"/>
              <w:widowControl/>
              <w:spacing w:line="280" w:lineRule="exact"/>
              <w:jc w:val="left"/>
              <w:rPr>
                <w:rFonts w:hint="eastAsia" w:ascii="Times New Roman" w:hAnsi="Times New Roman" w:eastAsia="仿宋_GB2312" w:cs="仿宋_GB2312"/>
                <w:b/>
                <w:bCs/>
                <w:color w:val="auto"/>
                <w:sz w:val="21"/>
                <w:szCs w:val="21"/>
                <w:highlight w:val="none"/>
                <w:lang w:val="en-US" w:eastAsia="zh-CN" w:bidi="ar-SA"/>
              </w:rPr>
            </w:pPr>
            <w:r>
              <w:rPr>
                <w:rStyle w:val="185"/>
                <w:rFonts w:hint="eastAsia" w:ascii="Times New Roman" w:hAnsi="Times New Roman" w:eastAsia="仿宋_GB2312" w:cs="仿宋_GB2312"/>
                <w:color w:val="auto"/>
                <w:sz w:val="21"/>
                <w:szCs w:val="21"/>
                <w:highlight w:val="none"/>
              </w:rPr>
              <w:t>第五十九条第一款第三项</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有下列行为之一的，由市场监督管理部门责令停止发布广告，对广告主处十万元以下的罚款：（三）涉及专利的广告违反本法第十二条规定的；</w:t>
            </w:r>
          </w:p>
        </w:tc>
      </w:tr>
      <w:tr w14:paraId="10E8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jc w:val="center"/>
        </w:trPr>
        <w:tc>
          <w:tcPr>
            <w:tcW w:w="307" w:type="pct"/>
            <w:noWrap w:val="0"/>
            <w:vAlign w:val="center"/>
          </w:tcPr>
          <w:p w14:paraId="6364FD2E">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bidi="ar-SA"/>
              </w:rPr>
              <w:t>52</w:t>
            </w:r>
          </w:p>
        </w:tc>
        <w:tc>
          <w:tcPr>
            <w:tcW w:w="901" w:type="pct"/>
            <w:noWrap w:val="0"/>
            <w:vAlign w:val="center"/>
          </w:tcPr>
          <w:p w14:paraId="33CE309A">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通过大众传播媒介发布的广告未标注“广告”字样的</w:t>
            </w:r>
          </w:p>
        </w:tc>
        <w:tc>
          <w:tcPr>
            <w:tcW w:w="790" w:type="pct"/>
            <w:noWrap w:val="0"/>
            <w:vAlign w:val="center"/>
          </w:tcPr>
          <w:p w14:paraId="79D7BC04">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属于首次违法，消费者能辨明其为广告，违法行为轻微，在责令改正期限内改正的</w:t>
            </w:r>
          </w:p>
        </w:tc>
        <w:tc>
          <w:tcPr>
            <w:tcW w:w="3000" w:type="pct"/>
            <w:noWrap w:val="0"/>
            <w:vAlign w:val="center"/>
          </w:tcPr>
          <w:p w14:paraId="5D5298BF">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《中华人民共和国广告法》</w:t>
            </w:r>
            <w:r>
              <w:rPr>
                <w:rStyle w:val="185"/>
                <w:rFonts w:hint="eastAsia" w:ascii="Times New Roman" w:hAnsi="Times New Roman" w:eastAsia="仿宋_GB2312" w:cs="仿宋_GB2312"/>
                <w:color w:val="auto"/>
                <w:sz w:val="21"/>
                <w:szCs w:val="21"/>
                <w:highlight w:val="none"/>
              </w:rPr>
              <w:t>第十四条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广告应当具有可识别性，能够使消费者辨明其为广告。</w:t>
            </w:r>
          </w:p>
          <w:p w14:paraId="6711E872">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5"/>
                <w:rFonts w:hint="eastAsia" w:ascii="Times New Roman" w:hAnsi="Times New Roman" w:eastAsia="仿宋_GB2312" w:cs="仿宋_GB2312"/>
                <w:color w:val="auto"/>
                <w:sz w:val="21"/>
                <w:szCs w:val="21"/>
                <w:highlight w:val="none"/>
              </w:rPr>
              <w:t>大众传播媒介不得以新闻报道形式变相发布广告。通过大众传播媒介发布的广告应当显著标明“广告”，与其他非广告信息相区别，不得使消费者产生误解。</w:t>
            </w:r>
          </w:p>
          <w:p w14:paraId="7CF26A7A">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5"/>
                <w:rFonts w:hint="eastAsia" w:ascii="Times New Roman" w:hAnsi="Times New Roman" w:eastAsia="仿宋_GB2312" w:cs="仿宋_GB2312"/>
                <w:color w:val="auto"/>
                <w:sz w:val="21"/>
                <w:szCs w:val="21"/>
                <w:highlight w:val="none"/>
              </w:rPr>
              <w:t>广播电台、电视台发布广告，应当遵守国务院有关部门关于时长、方式的规定，并应当对广告时长作出明显提示。</w:t>
            </w:r>
          </w:p>
          <w:p w14:paraId="16DC6A0A">
            <w:pPr>
              <w:keepNext w:val="0"/>
              <w:keepLines w:val="0"/>
              <w:pageBreakBefore w:val="0"/>
              <w:widowControl/>
              <w:spacing w:line="280" w:lineRule="exact"/>
              <w:jc w:val="left"/>
              <w:rPr>
                <w:rFonts w:hint="eastAsia" w:ascii="Times New Roman" w:hAnsi="Times New Roman" w:eastAsia="仿宋_GB2312" w:cs="仿宋_GB2312"/>
                <w:b/>
                <w:bCs/>
                <w:strike/>
                <w:color w:val="auto"/>
                <w:sz w:val="21"/>
                <w:szCs w:val="21"/>
                <w:highlight w:val="none"/>
                <w:lang w:val="en-US" w:eastAsia="zh-CN" w:bidi="ar-SA"/>
              </w:rPr>
            </w:pPr>
            <w:r>
              <w:rPr>
                <w:rStyle w:val="185"/>
                <w:rFonts w:hint="eastAsia" w:ascii="Times New Roman" w:hAnsi="Times New Roman" w:eastAsia="仿宋_GB2312" w:cs="仿宋_GB2312"/>
                <w:color w:val="auto"/>
                <w:sz w:val="21"/>
                <w:szCs w:val="21"/>
                <w:highlight w:val="none"/>
              </w:rPr>
              <w:t>第五十九条第三款  广告违反本法第十四条规定，不具有可识别性的，或者违反本法第十九条规定，变相发布医疗、药品、医疗器械、保健食品广告的，由市场监督管理部门责令改正，对广告发布者处十万元以下的罚款。</w:t>
            </w:r>
          </w:p>
        </w:tc>
      </w:tr>
      <w:tr w14:paraId="4D30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6" w:hRule="atLeast"/>
          <w:jc w:val="center"/>
        </w:trPr>
        <w:tc>
          <w:tcPr>
            <w:tcW w:w="307" w:type="pct"/>
            <w:noWrap w:val="0"/>
            <w:vAlign w:val="center"/>
          </w:tcPr>
          <w:p w14:paraId="31394650">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Style w:val="184"/>
                <w:rFonts w:hint="eastAsia" w:ascii="Times New Roman" w:hAnsi="Times New Roman" w:eastAsia="仿宋" w:cs="仿宋"/>
                <w:b w:val="0"/>
                <w:bCs w:val="0"/>
                <w:color w:val="auto"/>
                <w:sz w:val="21"/>
                <w:szCs w:val="21"/>
                <w:highlight w:val="none"/>
                <w:lang w:val="en-US" w:eastAsia="zh-CN"/>
              </w:rPr>
              <w:t>53</w:t>
            </w:r>
          </w:p>
        </w:tc>
        <w:tc>
          <w:tcPr>
            <w:tcW w:w="901" w:type="pct"/>
            <w:noWrap w:val="0"/>
            <w:vAlign w:val="center"/>
          </w:tcPr>
          <w:p w14:paraId="3E1A1557">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未经审查，发布医疗、药品、医疗器械、农药、兽药、保健食品和特殊医学用途配方食品广告的</w:t>
            </w:r>
          </w:p>
        </w:tc>
        <w:tc>
          <w:tcPr>
            <w:tcW w:w="790" w:type="pct"/>
            <w:noWrap w:val="0"/>
            <w:vAlign w:val="center"/>
          </w:tcPr>
          <w:p w14:paraId="2890086F">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属于首次违法，有过期广告审查批准文号，逾期未超过三个月，并按广告审查内容发布，情节轻微，在责令改正期限内及时纠正的</w:t>
            </w:r>
          </w:p>
        </w:tc>
        <w:tc>
          <w:tcPr>
            <w:tcW w:w="3000" w:type="pct"/>
            <w:noWrap w:val="0"/>
            <w:vAlign w:val="center"/>
          </w:tcPr>
          <w:p w14:paraId="5DACFCE4">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《中华人民共和国广告法》</w:t>
            </w:r>
            <w:r>
              <w:rPr>
                <w:rStyle w:val="185"/>
                <w:rFonts w:hint="eastAsia" w:ascii="Times New Roman" w:hAnsi="Times New Roman" w:eastAsia="仿宋_GB2312" w:cs="仿宋_GB2312"/>
                <w:color w:val="auto"/>
                <w:sz w:val="21"/>
                <w:szCs w:val="21"/>
                <w:highlight w:val="none"/>
              </w:rPr>
              <w:t>第四十六条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发布医疗、药品、医疗器械、农药、兽药和保健食品广告，以及法律、行政法规规定应当进行审查的其他广告，应当在发布前由有关部门（以下称广告审查机关）对广告内容进行审查；未经审查，不得发布。</w:t>
            </w:r>
          </w:p>
          <w:p w14:paraId="25F1A46A">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5"/>
                <w:rFonts w:hint="eastAsia" w:ascii="Times New Roman" w:hAnsi="Times New Roman" w:eastAsia="仿宋_GB2312" w:cs="仿宋_GB2312"/>
                <w:color w:val="auto"/>
                <w:sz w:val="21"/>
                <w:szCs w:val="21"/>
                <w:highlight w:val="none"/>
              </w:rPr>
              <w:t>第五十八条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四）违反本法第四十六条规定，未经审查发布广告的。</w:t>
            </w:r>
          </w:p>
          <w:p w14:paraId="78BF3240">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5"/>
                <w:rFonts w:hint="eastAsia" w:ascii="Times New Roman" w:hAnsi="Times New Roman" w:eastAsia="仿宋_GB2312" w:cs="仿宋_GB2312"/>
                <w:b/>
                <w:bCs/>
                <w:color w:val="auto"/>
                <w:sz w:val="21"/>
                <w:szCs w:val="21"/>
                <w:highlight w:val="none"/>
              </w:rPr>
              <w:t>《药品医疗器械保健食品特殊医学用途配方食品广告审查管理暂行办法》</w:t>
            </w:r>
            <w:r>
              <w:rPr>
                <w:rStyle w:val="185"/>
                <w:rFonts w:hint="eastAsia" w:ascii="Times New Roman" w:hAnsi="Times New Roman" w:eastAsia="仿宋_GB2312" w:cs="仿宋_GB2312"/>
                <w:color w:val="auto"/>
                <w:sz w:val="21"/>
                <w:szCs w:val="21"/>
                <w:highlight w:val="none"/>
              </w:rPr>
              <w:t xml:space="preserve">第二十六条第一项 </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有下列情形之一的，按照《中华人民共和国广告法》第五十八条处罚：</w:t>
            </w:r>
          </w:p>
          <w:p w14:paraId="4ED9FCF7">
            <w:pPr>
              <w:keepNext w:val="0"/>
              <w:keepLines w:val="0"/>
              <w:pageBreakBefore w:val="0"/>
              <w:widowControl/>
              <w:spacing w:line="280" w:lineRule="exact"/>
              <w:jc w:val="left"/>
              <w:rPr>
                <w:rFonts w:hint="eastAsia" w:ascii="Times New Roman" w:hAnsi="Times New Roman" w:eastAsia="仿宋_GB2312" w:cs="仿宋_GB2312"/>
                <w:b/>
                <w:bCs/>
                <w:color w:val="auto"/>
                <w:sz w:val="21"/>
                <w:szCs w:val="21"/>
                <w:highlight w:val="none"/>
                <w:lang w:val="en-US" w:eastAsia="zh-CN" w:bidi="ar-SA"/>
              </w:rPr>
            </w:pPr>
            <w:r>
              <w:rPr>
                <w:rStyle w:val="185"/>
                <w:rFonts w:hint="eastAsia" w:ascii="Times New Roman" w:hAnsi="Times New Roman" w:eastAsia="仿宋_GB2312" w:cs="仿宋_GB2312"/>
                <w:color w:val="auto"/>
                <w:sz w:val="21"/>
                <w:szCs w:val="21"/>
                <w:highlight w:val="none"/>
              </w:rPr>
              <w:t>（一）违反本办法第二条第二款规定，未经审查发布药品、医疗器械、保健食品和特殊医学用途配方食品广告；</w:t>
            </w:r>
          </w:p>
        </w:tc>
      </w:tr>
      <w:tr w14:paraId="1C99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307" w:type="pct"/>
            <w:noWrap w:val="0"/>
            <w:vAlign w:val="center"/>
          </w:tcPr>
          <w:p w14:paraId="0A3A56F5">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bidi="ar-SA"/>
              </w:rPr>
              <w:t>54</w:t>
            </w:r>
          </w:p>
        </w:tc>
        <w:tc>
          <w:tcPr>
            <w:tcW w:w="901" w:type="pct"/>
            <w:noWrap w:val="0"/>
            <w:vAlign w:val="center"/>
          </w:tcPr>
          <w:p w14:paraId="7352AB86">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 xml:space="preserve">广告经营者、广告发布者未依法公布其收费标准和收费办法的 </w:t>
            </w:r>
          </w:p>
        </w:tc>
        <w:tc>
          <w:tcPr>
            <w:tcW w:w="790" w:type="pct"/>
            <w:noWrap w:val="0"/>
            <w:vAlign w:val="center"/>
          </w:tcPr>
          <w:p w14:paraId="36B1BA57">
            <w:pPr>
              <w:keepNext w:val="0"/>
              <w:keepLines w:val="0"/>
              <w:pageBreakBefore w:val="0"/>
              <w:widowControl/>
              <w:spacing w:line="280" w:lineRule="exac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3464FE5C">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lang w:val="en-US" w:eastAsia="zh-CN" w:bidi="ar-SA"/>
              </w:rPr>
            </w:pPr>
            <w:r>
              <w:rPr>
                <w:rStyle w:val="184"/>
                <w:rFonts w:hint="eastAsia" w:ascii="Times New Roman" w:hAnsi="Times New Roman" w:eastAsia="仿宋_GB2312" w:cs="仿宋_GB2312"/>
                <w:color w:val="auto"/>
                <w:sz w:val="21"/>
                <w:szCs w:val="21"/>
                <w:highlight w:val="none"/>
              </w:rPr>
              <w:t>《中华人民共和国广告法》</w:t>
            </w:r>
            <w:r>
              <w:rPr>
                <w:rStyle w:val="185"/>
                <w:rFonts w:hint="eastAsia" w:ascii="Times New Roman" w:hAnsi="Times New Roman" w:eastAsia="仿宋_GB2312" w:cs="仿宋_GB2312"/>
                <w:color w:val="auto"/>
                <w:sz w:val="21"/>
                <w:szCs w:val="21"/>
                <w:highlight w:val="none"/>
              </w:rPr>
              <w:t>第三十五条</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广告经营者、广告发布者应当公布其收费标准和收费办法。第六十条第二款</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违反本法第三十五条规定，广告经营者、广告发布者未公布其收费标准和收费办法的，由价格主管部门责令改正，可以处五万元以下的罚款。</w:t>
            </w:r>
          </w:p>
        </w:tc>
      </w:tr>
      <w:tr w14:paraId="3ACE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noWrap w:val="0"/>
            <w:vAlign w:val="center"/>
          </w:tcPr>
          <w:p w14:paraId="35F33FFA">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b w:val="0"/>
                <w:bCs w:val="0"/>
                <w:color w:val="auto"/>
                <w:sz w:val="21"/>
                <w:szCs w:val="21"/>
                <w:highlight w:val="none"/>
                <w:lang w:val="en-US" w:eastAsia="zh-CN" w:bidi="ar-SA"/>
              </w:rPr>
              <w:t>55</w:t>
            </w:r>
          </w:p>
        </w:tc>
        <w:tc>
          <w:tcPr>
            <w:tcW w:w="901" w:type="pct"/>
            <w:noWrap w:val="0"/>
            <w:vAlign w:val="center"/>
          </w:tcPr>
          <w:p w14:paraId="035818CD">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发布房地产预售、销售广告未载明</w:t>
            </w:r>
            <w:r>
              <w:rPr>
                <w:rFonts w:hint="eastAsia" w:ascii="Times New Roman" w:hAnsi="Times New Roman" w:eastAsia="仿宋_GB2312" w:cs="仿宋_GB2312"/>
                <w:color w:val="auto"/>
                <w:sz w:val="21"/>
                <w:szCs w:val="21"/>
                <w:highlight w:val="none"/>
                <w:lang w:eastAsia="zh-CN"/>
              </w:rPr>
              <w:t>必须载明的事项的</w:t>
            </w:r>
          </w:p>
        </w:tc>
        <w:tc>
          <w:tcPr>
            <w:tcW w:w="790" w:type="pct"/>
            <w:noWrap w:val="0"/>
            <w:vAlign w:val="center"/>
          </w:tcPr>
          <w:p w14:paraId="25328B1C">
            <w:pPr>
              <w:keepNext w:val="0"/>
              <w:keepLines w:val="0"/>
              <w:pageBreakBefore w:val="0"/>
              <w:widowControl/>
              <w:spacing w:line="26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属于首次违法，广告系通过广告主自有经营场所或互联网自媒体发布，且已取得预售或销售许可证件，情节轻微，在责令改正限期内改正的</w:t>
            </w:r>
          </w:p>
        </w:tc>
        <w:tc>
          <w:tcPr>
            <w:tcW w:w="3000" w:type="pct"/>
            <w:noWrap w:val="0"/>
            <w:vAlign w:val="center"/>
          </w:tcPr>
          <w:p w14:paraId="52E582BB">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《房地产广告发布规定》</w:t>
            </w:r>
            <w:r>
              <w:rPr>
                <w:rStyle w:val="185"/>
                <w:rFonts w:hint="eastAsia" w:ascii="Times New Roman" w:hAnsi="Times New Roman" w:eastAsia="仿宋_GB2312" w:cs="仿宋_GB2312"/>
                <w:color w:val="auto"/>
                <w:sz w:val="21"/>
                <w:szCs w:val="21"/>
                <w:highlight w:val="none"/>
              </w:rPr>
              <w:t xml:space="preserve">第七条 </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房地产预售、销售广告，必须载明以下事项：（一）开发企业名称；（二）中介服务机构代理销售的，载明该机构名称；（三）预售或者销售许可证书号。</w:t>
            </w:r>
          </w:p>
          <w:p w14:paraId="28F83156">
            <w:pPr>
              <w:keepNext w:val="0"/>
              <w:keepLines w:val="0"/>
              <w:pageBreakBefore w:val="0"/>
              <w:widowControl/>
              <w:spacing w:line="280" w:lineRule="exact"/>
              <w:jc w:val="left"/>
              <w:rPr>
                <w:rFonts w:hint="eastAsia" w:ascii="Times New Roman" w:hAnsi="Times New Roman" w:eastAsia="仿宋_GB2312" w:cs="仿宋_GB2312"/>
                <w:b/>
                <w:bCs/>
                <w:color w:val="auto"/>
                <w:sz w:val="21"/>
                <w:szCs w:val="21"/>
                <w:highlight w:val="none"/>
                <w:u w:val="none"/>
                <w:lang w:val="en-US" w:eastAsia="zh-CN" w:bidi="ar-SA"/>
              </w:rPr>
            </w:pPr>
            <w:r>
              <w:rPr>
                <w:rStyle w:val="185"/>
                <w:rFonts w:hint="eastAsia" w:ascii="Times New Roman" w:hAnsi="Times New Roman" w:eastAsia="仿宋_GB2312" w:cs="仿宋_GB2312"/>
                <w:color w:val="auto"/>
                <w:sz w:val="21"/>
                <w:szCs w:val="21"/>
                <w:highlight w:val="none"/>
              </w:rPr>
              <w:t>第二十一条  违反本规定发布广告</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《广告法》及其他法律法规有规定的</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依照有关法律法规规定予以处罚。法律法规没有规定的</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对负有责任的广告主、广告经营者、广告发布者</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处以违法所得三倍以下但不超过三万元的罚款</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没有违法所得的</w:t>
            </w:r>
            <w:r>
              <w:rPr>
                <w:rStyle w:val="185"/>
                <w:rFonts w:hint="eastAsia" w:eastAsia="仿宋_GB2312" w:cs="仿宋_GB2312"/>
                <w:color w:val="auto"/>
                <w:sz w:val="21"/>
                <w:szCs w:val="21"/>
                <w:highlight w:val="none"/>
                <w:lang w:eastAsia="zh-CN"/>
              </w:rPr>
              <w:t>，</w:t>
            </w:r>
            <w:r>
              <w:rPr>
                <w:rStyle w:val="185"/>
                <w:rFonts w:hint="eastAsia" w:ascii="Times New Roman" w:hAnsi="Times New Roman" w:eastAsia="仿宋_GB2312" w:cs="仿宋_GB2312"/>
                <w:color w:val="auto"/>
                <w:sz w:val="21"/>
                <w:szCs w:val="21"/>
                <w:highlight w:val="none"/>
              </w:rPr>
              <w:t>处以一万元以下的罚款。</w:t>
            </w:r>
          </w:p>
        </w:tc>
      </w:tr>
      <w:tr w14:paraId="3D1A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307" w:type="pct"/>
            <w:noWrap w:val="0"/>
            <w:vAlign w:val="center"/>
          </w:tcPr>
          <w:p w14:paraId="66DA0C9E">
            <w:pPr>
              <w:widowControl/>
              <w:spacing w:line="280" w:lineRule="exact"/>
              <w:jc w:val="center"/>
              <w:rPr>
                <w:rStyle w:val="184"/>
                <w:rFonts w:hint="eastAsia" w:ascii="Times New Roman" w:hAnsi="Times New Roman" w:eastAsia="仿宋" w:cs="仿宋"/>
                <w:b w:val="0"/>
                <w:bCs w:val="0"/>
                <w:color w:val="auto"/>
                <w:sz w:val="21"/>
                <w:szCs w:val="21"/>
                <w:highlight w:val="none"/>
                <w:lang w:val="en-US" w:eastAsia="zh-CN"/>
              </w:rPr>
            </w:pPr>
            <w:r>
              <w:rPr>
                <w:rStyle w:val="184"/>
                <w:rFonts w:hint="eastAsia" w:ascii="Times New Roman" w:hAnsi="Times New Roman" w:eastAsia="仿宋" w:cs="仿宋"/>
                <w:b w:val="0"/>
                <w:bCs w:val="0"/>
                <w:color w:val="auto"/>
                <w:sz w:val="21"/>
                <w:szCs w:val="21"/>
                <w:highlight w:val="none"/>
                <w:lang w:val="en-US" w:eastAsia="zh-CN"/>
              </w:rPr>
              <w:t>56</w:t>
            </w:r>
          </w:p>
        </w:tc>
        <w:tc>
          <w:tcPr>
            <w:tcW w:w="901" w:type="pct"/>
            <w:noWrap w:val="0"/>
            <w:vAlign w:val="center"/>
          </w:tcPr>
          <w:p w14:paraId="70AC0941">
            <w:pPr>
              <w:keepNext w:val="0"/>
              <w:keepLines w:val="0"/>
              <w:pageBreakBefore w:val="0"/>
              <w:widowControl/>
              <w:spacing w:line="280" w:lineRule="exact"/>
              <w:jc w:val="left"/>
              <w:rPr>
                <w:rStyle w:val="184"/>
                <w:rFonts w:hint="eastAsia" w:ascii="Times New Roman" w:hAnsi="Times New Roman" w:eastAsia="仿宋_GB2312" w:cs="仿宋_GB2312"/>
                <w:strike/>
                <w:color w:val="auto"/>
                <w:sz w:val="21"/>
                <w:szCs w:val="21"/>
                <w:highlight w:val="none"/>
                <w:lang w:val="en-US" w:eastAsia="zh-CN"/>
              </w:rPr>
            </w:pPr>
            <w:r>
              <w:rPr>
                <w:rFonts w:hint="eastAsia" w:ascii="Times New Roman" w:hAnsi="Times New Roman" w:eastAsia="仿宋_GB2312" w:cs="仿宋_GB2312"/>
                <w:color w:val="auto"/>
                <w:sz w:val="21"/>
                <w:szCs w:val="21"/>
                <w:highlight w:val="none"/>
              </w:rPr>
              <w:t>个体工商户不按照规定场所从事制造、修理计量器具经营活动的</w:t>
            </w:r>
          </w:p>
        </w:tc>
        <w:tc>
          <w:tcPr>
            <w:tcW w:w="790" w:type="pct"/>
            <w:noWrap w:val="0"/>
            <w:vAlign w:val="center"/>
          </w:tcPr>
          <w:p w14:paraId="2C2D7188">
            <w:pPr>
              <w:keepNext w:val="0"/>
              <w:keepLines w:val="0"/>
              <w:pageBreakBefore w:val="0"/>
              <w:widowControl/>
              <w:spacing w:line="280" w:lineRule="exact"/>
              <w:rPr>
                <w:rStyle w:val="184"/>
                <w:rFonts w:hint="eastAsia" w:ascii="Times New Roman" w:hAnsi="Times New Roman" w:eastAsia="仿宋_GB2312" w:cs="仿宋_GB2312"/>
                <w:strike/>
                <w:color w:val="auto"/>
                <w:sz w:val="21"/>
                <w:szCs w:val="21"/>
                <w:highlight w:val="none"/>
                <w:lang w:val="en-US" w:eastAsia="zh-CN"/>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220318C0">
            <w:pPr>
              <w:keepNext w:val="0"/>
              <w:keepLines w:val="0"/>
              <w:pageBreakBefore w:val="0"/>
              <w:widowControl/>
              <w:spacing w:line="280" w:lineRule="exact"/>
              <w:jc w:val="left"/>
              <w:rPr>
                <w:rStyle w:val="185"/>
                <w:rFonts w:hint="eastAsia" w:eastAsia="仿宋_GB2312" w:cs="仿宋_GB2312"/>
                <w:color w:val="auto"/>
                <w:sz w:val="21"/>
                <w:szCs w:val="21"/>
                <w:highlight w:val="none"/>
                <w:lang w:eastAsia="zh-CN"/>
              </w:rPr>
            </w:pPr>
            <w:r>
              <w:rPr>
                <w:rStyle w:val="184"/>
                <w:rFonts w:hint="eastAsia" w:ascii="Times New Roman" w:hAnsi="Times New Roman" w:eastAsia="仿宋_GB2312" w:cs="仿宋_GB2312"/>
                <w:color w:val="auto"/>
                <w:sz w:val="21"/>
                <w:szCs w:val="21"/>
                <w:highlight w:val="none"/>
              </w:rPr>
              <w:t>《中华人民共和国计量法实施细则》</w:t>
            </w:r>
            <w:r>
              <w:rPr>
                <w:rStyle w:val="185"/>
                <w:rFonts w:hint="eastAsia" w:ascii="Times New Roman" w:hAnsi="Times New Roman" w:eastAsia="仿宋_GB2312" w:cs="仿宋_GB2312"/>
                <w:color w:val="auto"/>
                <w:sz w:val="21"/>
                <w:szCs w:val="21"/>
                <w:highlight w:val="none"/>
              </w:rPr>
              <w:t>第十四条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制造、修理计量器具的企业、事业单位和个体工商户须在固定的场所从事经营，具有符合国家规定的生产设施、检验条件、技术人员等，并满足安全要求</w:t>
            </w:r>
            <w:r>
              <w:rPr>
                <w:rStyle w:val="185"/>
                <w:rFonts w:hint="eastAsia" w:eastAsia="仿宋_GB2312" w:cs="仿宋_GB2312"/>
                <w:color w:val="auto"/>
                <w:sz w:val="21"/>
                <w:szCs w:val="21"/>
                <w:highlight w:val="none"/>
                <w:lang w:eastAsia="zh-CN"/>
              </w:rPr>
              <w:t>。</w:t>
            </w:r>
          </w:p>
          <w:p w14:paraId="34F38898">
            <w:pPr>
              <w:keepNext w:val="0"/>
              <w:keepLines w:val="0"/>
              <w:pageBreakBefore w:val="0"/>
              <w:widowControl/>
              <w:spacing w:line="280" w:lineRule="exact"/>
              <w:jc w:val="left"/>
              <w:rPr>
                <w:rFonts w:hint="eastAsia" w:ascii="Times New Roman" w:hAnsi="Times New Roman" w:eastAsia="仿宋_GB2312" w:cs="仿宋_GB2312"/>
                <w:b/>
                <w:bCs/>
                <w:strike/>
                <w:color w:val="auto"/>
                <w:sz w:val="21"/>
                <w:szCs w:val="21"/>
                <w:highlight w:val="none"/>
                <w:u w:val="none"/>
                <w:lang w:val="en-US" w:eastAsia="zh-CN" w:bidi="ar-SA"/>
              </w:rPr>
            </w:pPr>
            <w:r>
              <w:rPr>
                <w:rStyle w:val="185"/>
                <w:rFonts w:hint="eastAsia" w:ascii="Times New Roman" w:hAnsi="Times New Roman" w:eastAsia="仿宋_GB2312" w:cs="仿宋_GB2312"/>
                <w:color w:val="auto"/>
                <w:sz w:val="21"/>
                <w:szCs w:val="21"/>
                <w:highlight w:val="none"/>
              </w:rPr>
              <w:t>第四十九条</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个体工商户制造、修理国家规定范围以外的计量器具或者不按照规定场所从事经营活动的，责令其停止制造、修理，没收全部违法所得，可并处以500元以下的罚款。</w:t>
            </w:r>
          </w:p>
        </w:tc>
      </w:tr>
      <w:tr w14:paraId="0E22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307" w:type="pct"/>
            <w:noWrap w:val="0"/>
            <w:vAlign w:val="center"/>
          </w:tcPr>
          <w:p w14:paraId="71B3BCDD">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bidi="ar-SA"/>
              </w:rPr>
              <w:t>57</w:t>
            </w:r>
          </w:p>
        </w:tc>
        <w:tc>
          <w:tcPr>
            <w:tcW w:w="901" w:type="pct"/>
            <w:noWrap w:val="0"/>
            <w:vAlign w:val="center"/>
          </w:tcPr>
          <w:p w14:paraId="49747E88">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 xml:space="preserve">企事业单位的各项最高计量标准，未经有关人民政府计量行政部门考核合格而开展计量检定的 </w:t>
            </w:r>
          </w:p>
        </w:tc>
        <w:tc>
          <w:tcPr>
            <w:tcW w:w="790" w:type="pct"/>
            <w:noWrap w:val="0"/>
            <w:vAlign w:val="center"/>
          </w:tcPr>
          <w:p w14:paraId="29BF42C5">
            <w:pPr>
              <w:keepNext w:val="0"/>
              <w:keepLines w:val="0"/>
              <w:pageBreakBefore w:val="0"/>
              <w:widowControl/>
              <w:spacing w:line="280" w:lineRule="exac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1F5E7EFD">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《中华人民共和国计量法》</w:t>
            </w:r>
            <w:r>
              <w:rPr>
                <w:rStyle w:val="185"/>
                <w:rFonts w:hint="eastAsia" w:ascii="Times New Roman" w:hAnsi="Times New Roman" w:eastAsia="仿宋_GB2312" w:cs="仿宋_GB2312"/>
                <w:color w:val="auto"/>
                <w:sz w:val="21"/>
                <w:szCs w:val="21"/>
                <w:highlight w:val="none"/>
              </w:rPr>
              <w:t>第八条：企业、事业单位根据需要，可以建立本单位使用的计量标准器具，其各项最高计量标准器具经有关人民政府计量行政部门主持考核合格后使用。</w:t>
            </w:r>
          </w:p>
          <w:p w14:paraId="608A9286">
            <w:pPr>
              <w:keepNext w:val="0"/>
              <w:keepLines w:val="0"/>
              <w:pageBreakBefore w:val="0"/>
              <w:widowControl/>
              <w:spacing w:line="280" w:lineRule="exact"/>
              <w:jc w:val="left"/>
              <w:rPr>
                <w:rFonts w:hint="eastAsia" w:ascii="Times New Roman" w:hAnsi="Times New Roman" w:eastAsia="仿宋_GB2312" w:cs="仿宋_GB2312"/>
                <w:b/>
                <w:bCs/>
                <w:strike/>
                <w:color w:val="auto"/>
                <w:sz w:val="21"/>
                <w:szCs w:val="21"/>
                <w:highlight w:val="none"/>
                <w:u w:val="none"/>
                <w:lang w:val="en-US" w:eastAsia="zh-CN" w:bidi="ar-SA"/>
              </w:rPr>
            </w:pPr>
            <w:r>
              <w:rPr>
                <w:rStyle w:val="184"/>
                <w:rFonts w:hint="eastAsia" w:ascii="Times New Roman" w:hAnsi="Times New Roman" w:eastAsia="仿宋_GB2312" w:cs="仿宋_GB2312"/>
                <w:color w:val="auto"/>
                <w:sz w:val="21"/>
                <w:szCs w:val="21"/>
                <w:highlight w:val="none"/>
              </w:rPr>
              <w:t>《中华人民共和国计量法实施细则》</w:t>
            </w:r>
            <w:r>
              <w:rPr>
                <w:rStyle w:val="185"/>
                <w:rFonts w:hint="eastAsia" w:ascii="Times New Roman" w:hAnsi="Times New Roman" w:eastAsia="仿宋_GB2312" w:cs="仿宋_GB2312"/>
                <w:color w:val="auto"/>
                <w:sz w:val="21"/>
                <w:szCs w:val="21"/>
                <w:highlight w:val="none"/>
              </w:rPr>
              <w:t>第四十二条：部门和企业、事业单位的各项最高计量标准，未经有关人民政府计量行政部门考核合格而开展计量检定的，责令其停止使用，可并处1000元以下的罚款。</w:t>
            </w:r>
          </w:p>
        </w:tc>
      </w:tr>
      <w:tr w14:paraId="4957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8" w:hRule="atLeast"/>
          <w:jc w:val="center"/>
        </w:trPr>
        <w:tc>
          <w:tcPr>
            <w:tcW w:w="307" w:type="pct"/>
            <w:noWrap w:val="0"/>
            <w:vAlign w:val="center"/>
          </w:tcPr>
          <w:p w14:paraId="32681E52">
            <w:pPr>
              <w:widowControl/>
              <w:spacing w:line="280" w:lineRule="exact"/>
              <w:jc w:val="center"/>
              <w:rPr>
                <w:rFonts w:hint="eastAsia" w:ascii="Times New Roman" w:hAnsi="Times New Roman" w:eastAsia="仿宋" w:cs="仿宋"/>
                <w:b w:val="0"/>
                <w:bCs w:val="0"/>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rPr>
              <w:t>58</w:t>
            </w:r>
          </w:p>
        </w:tc>
        <w:tc>
          <w:tcPr>
            <w:tcW w:w="901" w:type="pct"/>
            <w:noWrap w:val="0"/>
            <w:vAlign w:val="center"/>
          </w:tcPr>
          <w:p w14:paraId="4BA29FB3">
            <w:pPr>
              <w:keepNext w:val="0"/>
              <w:keepLines w:val="0"/>
              <w:pageBreakBefore w:val="0"/>
              <w:widowControl/>
              <w:spacing w:line="280" w:lineRule="exact"/>
              <w:jc w:val="left"/>
              <w:rPr>
                <w:rFonts w:hint="eastAsia" w:ascii="Times New Roman" w:hAnsi="Times New Roman" w:eastAsia="仿宋_GB2312" w:cs="仿宋_GB2312"/>
                <w:b/>
                <w:bCs/>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属于强制检定范围的计量器具，未按照规定申请检定和属于非强制检定范围的计量器具未自行定期检定或者送其他计量检定机构定期检定的，以及经检定不合格继续使用的，</w:t>
            </w:r>
          </w:p>
        </w:tc>
        <w:tc>
          <w:tcPr>
            <w:tcW w:w="790" w:type="pct"/>
            <w:noWrap w:val="0"/>
            <w:vAlign w:val="center"/>
          </w:tcPr>
          <w:p w14:paraId="6073E94D">
            <w:pPr>
              <w:keepNext w:val="0"/>
              <w:keepLines w:val="0"/>
              <w:pageBreakBefore w:val="0"/>
              <w:widowControl/>
              <w:spacing w:line="280" w:lineRule="exact"/>
              <w:rPr>
                <w:rFonts w:hint="eastAsia" w:ascii="Times New Roman" w:hAnsi="Times New Roman" w:eastAsia="仿宋_GB2312" w:cs="仿宋_GB2312"/>
                <w:b/>
                <w:bCs/>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6B6BEA14">
            <w:pPr>
              <w:keepNext w:val="0"/>
              <w:keepLines w:val="0"/>
              <w:pageBreakBefore w:val="0"/>
              <w:widowControl/>
              <w:spacing w:line="280" w:lineRule="exact"/>
              <w:jc w:val="both"/>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《中华人民共和国计量法》</w:t>
            </w:r>
            <w:r>
              <w:rPr>
                <w:rStyle w:val="185"/>
                <w:rFonts w:hint="eastAsia" w:ascii="Times New Roman" w:hAnsi="Times New Roman" w:eastAsia="仿宋_GB2312" w:cs="仿宋_GB2312"/>
                <w:color w:val="auto"/>
                <w:sz w:val="21"/>
                <w:szCs w:val="21"/>
                <w:highlight w:val="none"/>
              </w:rPr>
              <w:t>第九条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14:paraId="15467347">
            <w:pPr>
              <w:keepNext w:val="0"/>
              <w:keepLines w:val="0"/>
              <w:pageBreakBefore w:val="0"/>
              <w:widowControl/>
              <w:spacing w:line="280" w:lineRule="exact"/>
              <w:jc w:val="both"/>
              <w:rPr>
                <w:rStyle w:val="185"/>
                <w:rFonts w:hint="eastAsia" w:ascii="Times New Roman" w:hAnsi="Times New Roman" w:eastAsia="仿宋_GB2312" w:cs="仿宋_GB2312"/>
                <w:color w:val="auto"/>
                <w:sz w:val="21"/>
                <w:szCs w:val="21"/>
                <w:highlight w:val="none"/>
              </w:rPr>
            </w:pPr>
            <w:r>
              <w:rPr>
                <w:rStyle w:val="185"/>
                <w:rFonts w:hint="eastAsia" w:ascii="Times New Roman" w:hAnsi="Times New Roman" w:eastAsia="仿宋_GB2312" w:cs="仿宋_GB2312"/>
                <w:color w:val="auto"/>
                <w:sz w:val="21"/>
                <w:szCs w:val="21"/>
                <w:highlight w:val="none"/>
              </w:rPr>
              <w:t>对前款规定以外的其他计量标准器具和工作计量器具，使用单位应当自行定期检定或者送其他计量检定机构检定。</w:t>
            </w:r>
          </w:p>
          <w:p w14:paraId="6A446C81">
            <w:pPr>
              <w:keepNext w:val="0"/>
              <w:keepLines w:val="0"/>
              <w:pageBreakBefore w:val="0"/>
              <w:widowControl/>
              <w:spacing w:line="280" w:lineRule="exact"/>
              <w:jc w:val="both"/>
              <w:rPr>
                <w:rFonts w:hint="eastAsia" w:ascii="Times New Roman" w:hAnsi="Times New Roman" w:eastAsia="仿宋_GB2312" w:cs="仿宋_GB2312"/>
                <w:b/>
                <w:bCs/>
                <w:strike/>
                <w:color w:val="auto"/>
                <w:sz w:val="21"/>
                <w:szCs w:val="21"/>
                <w:highlight w:val="none"/>
                <w:lang w:val="en-US" w:eastAsia="zh-CN" w:bidi="ar-SA"/>
              </w:rPr>
            </w:pPr>
            <w:r>
              <w:rPr>
                <w:rStyle w:val="184"/>
                <w:rFonts w:hint="eastAsia" w:ascii="Times New Roman" w:hAnsi="Times New Roman" w:eastAsia="仿宋_GB2312" w:cs="仿宋_GB2312"/>
                <w:color w:val="auto"/>
                <w:sz w:val="21"/>
                <w:szCs w:val="21"/>
                <w:highlight w:val="none"/>
              </w:rPr>
              <w:t>《中华人民共和国计量法实施细则》</w:t>
            </w:r>
            <w:r>
              <w:rPr>
                <w:rStyle w:val="185"/>
                <w:rFonts w:hint="eastAsia" w:ascii="Times New Roman" w:hAnsi="Times New Roman" w:eastAsia="仿宋_GB2312" w:cs="仿宋_GB2312"/>
                <w:color w:val="auto"/>
                <w:sz w:val="21"/>
                <w:szCs w:val="21"/>
                <w:highlight w:val="none"/>
              </w:rPr>
              <w:t>第四十三条：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r>
      <w:tr w14:paraId="4D9E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307" w:type="pct"/>
            <w:noWrap w:val="0"/>
            <w:vAlign w:val="center"/>
          </w:tcPr>
          <w:p w14:paraId="6835A970">
            <w:pPr>
              <w:widowControl/>
              <w:spacing w:line="280" w:lineRule="exact"/>
              <w:jc w:val="center"/>
              <w:rPr>
                <w:rStyle w:val="184"/>
                <w:rFonts w:hint="eastAsia" w:ascii="Times New Roman" w:hAnsi="Times New Roman" w:eastAsia="仿宋" w:cs="仿宋"/>
                <w:color w:val="auto"/>
                <w:sz w:val="21"/>
                <w:szCs w:val="21"/>
                <w:highlight w:val="none"/>
                <w:lang w:val="en-US" w:eastAsia="zh-CN"/>
              </w:rPr>
            </w:pPr>
            <w:r>
              <w:rPr>
                <w:rFonts w:hint="eastAsia" w:ascii="Times New Roman" w:hAnsi="Times New Roman" w:eastAsia="仿宋" w:cs="仿宋"/>
                <w:color w:val="auto"/>
                <w:sz w:val="21"/>
                <w:szCs w:val="21"/>
                <w:highlight w:val="none"/>
                <w:lang w:val="en-US" w:eastAsia="zh-CN" w:bidi="ar-SA"/>
              </w:rPr>
              <w:t>59</w:t>
            </w:r>
          </w:p>
        </w:tc>
        <w:tc>
          <w:tcPr>
            <w:tcW w:w="901" w:type="pct"/>
            <w:noWrap w:val="0"/>
            <w:vAlign w:val="center"/>
          </w:tcPr>
          <w:p w14:paraId="4E12F3B3">
            <w:pPr>
              <w:keepNext w:val="0"/>
              <w:keepLines w:val="0"/>
              <w:pageBreakBefore w:val="0"/>
              <w:widowControl/>
              <w:spacing w:line="280" w:lineRule="exact"/>
              <w:jc w:val="left"/>
              <w:rPr>
                <w:rStyle w:val="184"/>
                <w:rFonts w:hint="eastAsia" w:ascii="Times New Roman" w:hAnsi="Times New Roman" w:eastAsia="仿宋_GB2312" w:cs="仿宋_GB2312"/>
                <w:strike/>
                <w:color w:val="auto"/>
                <w:sz w:val="21"/>
                <w:szCs w:val="21"/>
                <w:highlight w:val="none"/>
                <w:lang w:val="en-US" w:eastAsia="zh-CN"/>
              </w:rPr>
            </w:pPr>
            <w:r>
              <w:rPr>
                <w:rFonts w:hint="eastAsia" w:ascii="Times New Roman" w:hAnsi="Times New Roman" w:eastAsia="仿宋_GB2312" w:cs="仿宋_GB2312"/>
                <w:color w:val="auto"/>
                <w:sz w:val="21"/>
                <w:szCs w:val="21"/>
                <w:highlight w:val="none"/>
              </w:rPr>
              <w:t>使用非法定计量单位的</w:t>
            </w:r>
          </w:p>
        </w:tc>
        <w:tc>
          <w:tcPr>
            <w:tcW w:w="790" w:type="pct"/>
            <w:noWrap w:val="0"/>
            <w:vAlign w:val="center"/>
          </w:tcPr>
          <w:p w14:paraId="7301DE34">
            <w:pPr>
              <w:keepNext w:val="0"/>
              <w:keepLines w:val="0"/>
              <w:pageBreakBefore w:val="0"/>
              <w:widowControl/>
              <w:spacing w:line="280" w:lineRule="exact"/>
              <w:rPr>
                <w:rStyle w:val="184"/>
                <w:rFonts w:hint="eastAsia" w:ascii="Times New Roman" w:hAnsi="Times New Roman" w:eastAsia="仿宋_GB2312" w:cs="仿宋_GB2312"/>
                <w:strike/>
                <w:color w:val="auto"/>
                <w:sz w:val="21"/>
                <w:szCs w:val="21"/>
                <w:highlight w:val="none"/>
                <w:lang w:val="en-US" w:eastAsia="zh-CN"/>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1372C08C">
            <w:pPr>
              <w:keepNext w:val="0"/>
              <w:keepLines w:val="0"/>
              <w:pageBreakBefore w:val="0"/>
              <w:widowControl/>
              <w:spacing w:line="280" w:lineRule="exact"/>
              <w:jc w:val="left"/>
              <w:rPr>
                <w:rStyle w:val="184"/>
                <w:rFonts w:hint="eastAsia" w:ascii="Times New Roman" w:hAnsi="Times New Roman" w:eastAsia="仿宋_GB2312" w:cs="仿宋_GB2312"/>
                <w:strike/>
                <w:color w:val="auto"/>
                <w:sz w:val="21"/>
                <w:szCs w:val="21"/>
                <w:highlight w:val="none"/>
                <w:lang w:val="en-US" w:eastAsia="zh-CN"/>
              </w:rPr>
            </w:pPr>
            <w:r>
              <w:rPr>
                <w:rStyle w:val="184"/>
                <w:rFonts w:hint="eastAsia" w:ascii="Times New Roman" w:hAnsi="Times New Roman" w:eastAsia="仿宋_GB2312" w:cs="仿宋_GB2312"/>
                <w:color w:val="auto"/>
                <w:sz w:val="21"/>
                <w:szCs w:val="21"/>
                <w:highlight w:val="none"/>
              </w:rPr>
              <w:t>《中华人民共和国计量法实施细则》</w:t>
            </w:r>
            <w:r>
              <w:rPr>
                <w:rStyle w:val="185"/>
                <w:rFonts w:hint="eastAsia" w:ascii="Times New Roman" w:hAnsi="Times New Roman" w:eastAsia="仿宋_GB2312" w:cs="仿宋_GB2312"/>
                <w:color w:val="auto"/>
                <w:sz w:val="21"/>
                <w:szCs w:val="21"/>
                <w:highlight w:val="none"/>
              </w:rPr>
              <w:t>第二条：国家实行法定计量单位制度。法定计量单位的名称、符号按照国务院关于在我国统一实行法定计量单位的有关规定执行。第四十条：违反本细则第二条规定，使用非法定计量单位的，责令其改正；属出版物的，责令其停止销售，可并处1000元以下的罚款。</w:t>
            </w:r>
          </w:p>
        </w:tc>
      </w:tr>
      <w:tr w14:paraId="4A4D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307" w:type="pct"/>
            <w:noWrap w:val="0"/>
            <w:vAlign w:val="center"/>
          </w:tcPr>
          <w:p w14:paraId="03A14118">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rPr>
              <w:t>60</w:t>
            </w:r>
          </w:p>
        </w:tc>
        <w:tc>
          <w:tcPr>
            <w:tcW w:w="901" w:type="pct"/>
            <w:noWrap w:val="0"/>
            <w:vAlign w:val="center"/>
          </w:tcPr>
          <w:p w14:paraId="762E0ADA">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经营者不对配置和使用的计量器具进行维护和管理，不接受对计量器具强制检定的</w:t>
            </w:r>
          </w:p>
        </w:tc>
        <w:tc>
          <w:tcPr>
            <w:tcW w:w="790" w:type="pct"/>
            <w:noWrap w:val="0"/>
            <w:vAlign w:val="center"/>
          </w:tcPr>
          <w:p w14:paraId="02EF15FF">
            <w:pPr>
              <w:keepNext w:val="0"/>
              <w:keepLines w:val="0"/>
              <w:pageBreakBefore w:val="0"/>
              <w:widowControl/>
              <w:spacing w:line="280" w:lineRule="exac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196EC8B3">
            <w:pPr>
              <w:keepNext w:val="0"/>
              <w:keepLines w:val="0"/>
              <w:pageBreakBefore w:val="0"/>
              <w:widowControl/>
              <w:spacing w:line="280" w:lineRule="exact"/>
              <w:jc w:val="left"/>
              <w:rPr>
                <w:rFonts w:hint="eastAsia" w:ascii="Times New Roman" w:hAnsi="Times New Roman" w:eastAsia="仿宋_GB2312" w:cs="仿宋_GB2312"/>
                <w:b/>
                <w:bCs/>
                <w:strike/>
                <w:color w:val="auto"/>
                <w:sz w:val="21"/>
                <w:szCs w:val="21"/>
                <w:highlight w:val="none"/>
                <w:lang w:val="en-US" w:eastAsia="zh-CN" w:bidi="ar-SA"/>
              </w:rPr>
            </w:pPr>
            <w:r>
              <w:rPr>
                <w:rStyle w:val="184"/>
                <w:rFonts w:hint="eastAsia" w:ascii="Times New Roman" w:hAnsi="Times New Roman" w:eastAsia="仿宋_GB2312" w:cs="仿宋_GB2312"/>
                <w:color w:val="auto"/>
                <w:sz w:val="21"/>
                <w:szCs w:val="21"/>
                <w:highlight w:val="none"/>
              </w:rPr>
              <w:t>《集贸市场计量监督管理办法》</w:t>
            </w:r>
            <w:r>
              <w:rPr>
                <w:rStyle w:val="185"/>
                <w:rFonts w:hint="eastAsia" w:ascii="Times New Roman" w:hAnsi="Times New Roman" w:eastAsia="仿宋_GB2312" w:cs="仿宋_GB2312"/>
                <w:color w:val="auto"/>
                <w:sz w:val="21"/>
                <w:szCs w:val="21"/>
                <w:highlight w:val="none"/>
              </w:rPr>
              <w:t>第六条第二项</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经营者应当做到：（二）对配置和使用的计量器具进行维护和管理，定期接受市场监督管理部门指定的法定计量检定机构对计量器具的强制检定。第十二条第一款：经营者违反本办法第六条第（二）项规定的，责令其停止使用，可并处以1000元以下的罚款。</w:t>
            </w:r>
          </w:p>
        </w:tc>
      </w:tr>
      <w:tr w14:paraId="5F50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307" w:type="pct"/>
            <w:noWrap w:val="0"/>
            <w:vAlign w:val="center"/>
          </w:tcPr>
          <w:p w14:paraId="0F5D5A81">
            <w:pPr>
              <w:widowControl/>
              <w:spacing w:line="280" w:lineRule="exact"/>
              <w:jc w:val="center"/>
              <w:rPr>
                <w:rFonts w:hint="eastAsia" w:ascii="Times New Roman" w:hAnsi="Times New Roman" w:eastAsia="仿宋" w:cs="仿宋"/>
                <w:color w:val="auto"/>
                <w:sz w:val="21"/>
                <w:szCs w:val="21"/>
                <w:highlight w:val="none"/>
                <w:lang w:val="en-US" w:eastAsia="zh-CN"/>
              </w:rPr>
            </w:pPr>
            <w:r>
              <w:rPr>
                <w:rFonts w:hint="eastAsia" w:ascii="Times New Roman" w:hAnsi="Times New Roman" w:eastAsia="仿宋" w:cs="仿宋"/>
                <w:color w:val="auto"/>
                <w:sz w:val="21"/>
                <w:szCs w:val="21"/>
                <w:highlight w:val="none"/>
                <w:lang w:val="en-US" w:eastAsia="zh-CN"/>
              </w:rPr>
              <w:t>61</w:t>
            </w:r>
          </w:p>
        </w:tc>
        <w:tc>
          <w:tcPr>
            <w:tcW w:w="901" w:type="pct"/>
            <w:noWrap w:val="0"/>
            <w:vAlign w:val="center"/>
          </w:tcPr>
          <w:p w14:paraId="731EF1CD">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批量定量包装商品的平均实际含量小于其标注净含量</w:t>
            </w:r>
          </w:p>
        </w:tc>
        <w:tc>
          <w:tcPr>
            <w:tcW w:w="790" w:type="pct"/>
            <w:noWrap w:val="0"/>
            <w:vAlign w:val="center"/>
          </w:tcPr>
          <w:p w14:paraId="48C7F6FA">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6B8BB105">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b/>
                <w:bCs/>
                <w:color w:val="auto"/>
                <w:sz w:val="21"/>
                <w:szCs w:val="21"/>
                <w:highlight w:val="none"/>
              </w:rPr>
              <w:t>《定量包装商品计量监督管理办法》</w:t>
            </w:r>
            <w:r>
              <w:rPr>
                <w:rFonts w:hint="eastAsia" w:ascii="Times New Roman" w:hAnsi="Times New Roman" w:eastAsia="仿宋_GB2312" w:cs="仿宋_GB2312"/>
                <w:color w:val="auto"/>
                <w:sz w:val="21"/>
                <w:szCs w:val="21"/>
                <w:highlight w:val="none"/>
              </w:rPr>
              <w:t>第九条</w:t>
            </w:r>
            <w:r>
              <w:rPr>
                <w:rFonts w:hint="eastAsia" w:eastAsia="仿宋_GB2312" w:cs="仿宋_GB2312"/>
                <w:color w:val="auto"/>
                <w:sz w:val="21"/>
                <w:szCs w:val="21"/>
                <w:highlight w:val="none"/>
                <w:lang w:val="en-US" w:eastAsia="zh-CN"/>
              </w:rPr>
              <w:t xml:space="preserve"> </w:t>
            </w:r>
            <w:r>
              <w:rPr>
                <w:rFonts w:hint="eastAsia" w:ascii="Times New Roman" w:hAnsi="Times New Roman" w:eastAsia="仿宋_GB2312" w:cs="仿宋_GB2312"/>
                <w:color w:val="auto"/>
                <w:sz w:val="21"/>
                <w:szCs w:val="21"/>
                <w:highlight w:val="none"/>
              </w:rPr>
              <w:t xml:space="preserve"> 批量定量包装商品的平均实际含量应当大于或者等于其标注净含量。用抽样的方法评定一个检验批的定量包装商品，应当符合定量包装商品净含量计量检验规则等系列计量技术规范。</w:t>
            </w:r>
          </w:p>
          <w:p w14:paraId="28D05606">
            <w:pPr>
              <w:keepNext w:val="0"/>
              <w:keepLines w:val="0"/>
              <w:pageBreakBefore w:val="0"/>
              <w:widowControl/>
              <w:spacing w:line="280" w:lineRule="exact"/>
              <w:ind w:firstLine="0"/>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第十八条</w:t>
            </w:r>
            <w:r>
              <w:rPr>
                <w:rFonts w:hint="eastAsia" w:eastAsia="仿宋_GB2312" w:cs="仿宋_GB2312"/>
                <w:color w:val="auto"/>
                <w:sz w:val="21"/>
                <w:szCs w:val="21"/>
                <w:highlight w:val="none"/>
                <w:lang w:val="en-US" w:eastAsia="zh-CN"/>
              </w:rPr>
              <w:t xml:space="preserve"> </w:t>
            </w:r>
            <w:r>
              <w:rPr>
                <w:rFonts w:hint="eastAsia" w:ascii="Times New Roman" w:hAnsi="Times New Roman" w:eastAsia="仿宋_GB2312" w:cs="仿宋_GB2312"/>
                <w:color w:val="auto"/>
                <w:sz w:val="21"/>
                <w:szCs w:val="21"/>
                <w:highlight w:val="none"/>
              </w:rPr>
              <w:t xml:space="preserve"> 生产、销售的定量包装商品，经检验违反本办法第八条、第九条规定的，由县级以上地方市场监督管理部门责令改正，处三万元以下罚款。</w:t>
            </w:r>
          </w:p>
        </w:tc>
      </w:tr>
      <w:tr w14:paraId="238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6" w:hRule="atLeast"/>
          <w:jc w:val="center"/>
        </w:trPr>
        <w:tc>
          <w:tcPr>
            <w:tcW w:w="307" w:type="pct"/>
            <w:noWrap w:val="0"/>
            <w:vAlign w:val="center"/>
          </w:tcPr>
          <w:p w14:paraId="608E4694">
            <w:pPr>
              <w:widowControl/>
              <w:spacing w:line="280" w:lineRule="exact"/>
              <w:jc w:val="center"/>
              <w:rPr>
                <w:rFonts w:hint="eastAsia" w:ascii="Times New Roman" w:hAnsi="Times New Roman" w:eastAsia="仿宋" w:cs="仿宋"/>
                <w:color w:val="auto"/>
                <w:sz w:val="21"/>
                <w:szCs w:val="21"/>
                <w:highlight w:val="none"/>
                <w:lang w:val="en-US" w:eastAsia="zh-CN" w:bidi="ar-SA"/>
              </w:rPr>
            </w:pPr>
            <w:r>
              <w:rPr>
                <w:rFonts w:hint="eastAsia" w:ascii="Times New Roman" w:hAnsi="Times New Roman" w:eastAsia="仿宋" w:cs="仿宋"/>
                <w:color w:val="auto"/>
                <w:sz w:val="21"/>
                <w:szCs w:val="21"/>
                <w:highlight w:val="none"/>
                <w:lang w:val="en-US" w:eastAsia="zh-CN"/>
              </w:rPr>
              <w:t>62</w:t>
            </w:r>
          </w:p>
        </w:tc>
        <w:tc>
          <w:tcPr>
            <w:tcW w:w="901" w:type="pct"/>
            <w:noWrap w:val="0"/>
            <w:vAlign w:val="center"/>
          </w:tcPr>
          <w:p w14:paraId="59EA6608">
            <w:pPr>
              <w:keepNext w:val="0"/>
              <w:keepLines w:val="0"/>
              <w:pageBreakBefore w:val="0"/>
              <w:widowControl/>
              <w:spacing w:line="280" w:lineRule="exact"/>
              <w:jc w:val="lef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lang w:val="en-US" w:eastAsia="zh-CN"/>
              </w:rPr>
              <w:t>使用计量保证能力合格标志的商品生产者达不到计量保证能力要求或未按要求声明使用计量保证能力合格标志的</w:t>
            </w:r>
          </w:p>
        </w:tc>
        <w:tc>
          <w:tcPr>
            <w:tcW w:w="790" w:type="pct"/>
            <w:noWrap w:val="0"/>
            <w:vAlign w:val="center"/>
          </w:tcPr>
          <w:p w14:paraId="6EBF9B56">
            <w:pPr>
              <w:keepNext w:val="0"/>
              <w:keepLines w:val="0"/>
              <w:pageBreakBefore w:val="0"/>
              <w:widowControl/>
              <w:spacing w:line="280" w:lineRule="exact"/>
              <w:rPr>
                <w:rFonts w:hint="eastAsia" w:ascii="Times New Roman" w:hAnsi="Times New Roman" w:eastAsia="仿宋_GB2312" w:cs="仿宋_GB2312"/>
                <w:strike/>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435D2729">
            <w:pPr>
              <w:keepNext w:val="0"/>
              <w:keepLines w:val="0"/>
              <w:pageBreakBefore w:val="0"/>
              <w:widowControl/>
              <w:spacing w:line="280" w:lineRule="exact"/>
              <w:jc w:val="left"/>
              <w:rPr>
                <w:rStyle w:val="185"/>
                <w:rFonts w:hint="eastAsia" w:ascii="Times New Roman" w:hAnsi="Times New Roman" w:eastAsia="仿宋_GB2312" w:cs="仿宋_GB2312"/>
                <w:color w:val="auto"/>
                <w:sz w:val="21"/>
                <w:szCs w:val="21"/>
                <w:highlight w:val="none"/>
              </w:rPr>
            </w:pPr>
            <w:r>
              <w:rPr>
                <w:rStyle w:val="184"/>
                <w:rFonts w:hint="eastAsia" w:ascii="Times New Roman" w:hAnsi="Times New Roman" w:eastAsia="仿宋_GB2312" w:cs="仿宋_GB2312"/>
                <w:color w:val="auto"/>
                <w:sz w:val="21"/>
                <w:szCs w:val="21"/>
                <w:highlight w:val="none"/>
              </w:rPr>
              <w:t>《定量包装商品计量监督管理办法》</w:t>
            </w:r>
            <w:r>
              <w:rPr>
                <w:rStyle w:val="185"/>
                <w:rFonts w:hint="eastAsia" w:ascii="Times New Roman" w:hAnsi="Times New Roman" w:eastAsia="仿宋_GB2312" w:cs="仿宋_GB2312"/>
                <w:color w:val="auto"/>
                <w:sz w:val="21"/>
                <w:szCs w:val="21"/>
                <w:highlight w:val="none"/>
              </w:rPr>
              <w:t xml:space="preserve">第十四条 </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国家鼓励定量包装商品生产者自愿开展计量保证能力评价工作，保证计量诚信。鼓励社会团体、行业组织建立行业规范、加强行业自律，促进计量诚信。自愿开展计量保证能力评价的定量包装商品生产者，应当按照定量包装商品生产企业计量保证能力要求，进行自我评价。自我评价符合要求的，通过省级市场监督管理部门指定的网站进行声明后，可以在定量包装商品上使用全国统一的计量保证能力合格标志。定量包装商品生产者自我声明后，企业主体资格、生产的定量包装商品品种或者规格等信息发生重大变化的，应当自发生变化一个月内再次进行声明。</w:t>
            </w:r>
          </w:p>
          <w:p w14:paraId="2E390BEE">
            <w:pPr>
              <w:keepNext w:val="0"/>
              <w:keepLines w:val="0"/>
              <w:pageBreakBefore w:val="0"/>
              <w:widowControl/>
              <w:spacing w:line="280" w:lineRule="exact"/>
              <w:jc w:val="left"/>
              <w:rPr>
                <w:rFonts w:hint="eastAsia" w:ascii="Times New Roman" w:hAnsi="Times New Roman" w:eastAsia="仿宋_GB2312" w:cs="仿宋_GB2312"/>
                <w:b/>
                <w:bCs/>
                <w:strike/>
                <w:color w:val="auto"/>
                <w:sz w:val="21"/>
                <w:szCs w:val="21"/>
                <w:highlight w:val="none"/>
                <w:lang w:val="en-US" w:eastAsia="zh-CN" w:bidi="ar-SA"/>
              </w:rPr>
            </w:pPr>
            <w:r>
              <w:rPr>
                <w:rStyle w:val="185"/>
                <w:rFonts w:hint="eastAsia" w:ascii="Times New Roman" w:hAnsi="Times New Roman" w:eastAsia="仿宋_GB2312" w:cs="仿宋_GB2312"/>
                <w:color w:val="auto"/>
                <w:sz w:val="21"/>
                <w:szCs w:val="21"/>
                <w:highlight w:val="none"/>
              </w:rPr>
              <w:t xml:space="preserve">第十六条 </w:t>
            </w:r>
            <w:r>
              <w:rPr>
                <w:rStyle w:val="185"/>
                <w:rFonts w:hint="eastAsia" w:eastAsia="仿宋_GB2312" w:cs="仿宋_GB2312"/>
                <w:color w:val="auto"/>
                <w:sz w:val="21"/>
                <w:szCs w:val="21"/>
                <w:highlight w:val="none"/>
                <w:lang w:val="en-US" w:eastAsia="zh-CN"/>
              </w:rPr>
              <w:t xml:space="preserve"> </w:t>
            </w:r>
            <w:r>
              <w:rPr>
                <w:rStyle w:val="185"/>
                <w:rFonts w:hint="eastAsia" w:ascii="Times New Roman" w:hAnsi="Times New Roman" w:eastAsia="仿宋_GB2312" w:cs="仿宋_GB2312"/>
                <w:color w:val="auto"/>
                <w:sz w:val="21"/>
                <w:szCs w:val="21"/>
                <w:highlight w:val="none"/>
              </w:rPr>
              <w:t>定量包装商品生产者按要求进行自我声明，使用计量保证能力合格标志，达不到定量包装商品生产企业计量保证能力要求的，由县级以上地方市场监督管理部门责令改正，处三万元以下罚款。　定量包装商品生产者未按要求进行自我声明，使用计量保证能力合格标志的，由县级以上地方市场监督管理部门责令改正，处五万元以下罚款。</w:t>
            </w:r>
          </w:p>
        </w:tc>
      </w:tr>
      <w:tr w14:paraId="30B5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2" w:hRule="atLeast"/>
          <w:jc w:val="center"/>
        </w:trPr>
        <w:tc>
          <w:tcPr>
            <w:tcW w:w="307" w:type="pct"/>
            <w:noWrap w:val="0"/>
            <w:vAlign w:val="center"/>
          </w:tcPr>
          <w:p w14:paraId="3D613951">
            <w:pPr>
              <w:widowControl/>
              <w:spacing w:line="280" w:lineRule="exact"/>
              <w:jc w:val="center"/>
              <w:rPr>
                <w:rFonts w:hint="eastAsia" w:ascii="Times New Roman" w:hAnsi="Times New Roman" w:eastAsia="仿宋" w:cs="仿宋"/>
                <w:color w:val="auto"/>
                <w:sz w:val="21"/>
                <w:szCs w:val="21"/>
                <w:highlight w:val="none"/>
                <w:lang w:val="en-US" w:eastAsia="zh-CN"/>
              </w:rPr>
            </w:pPr>
            <w:r>
              <w:rPr>
                <w:rFonts w:hint="eastAsia" w:ascii="Times New Roman" w:hAnsi="Times New Roman" w:eastAsia="仿宋" w:cs="仿宋"/>
                <w:color w:val="auto"/>
                <w:sz w:val="21"/>
                <w:szCs w:val="21"/>
                <w:highlight w:val="none"/>
                <w:lang w:val="en-US" w:eastAsia="zh-CN"/>
              </w:rPr>
              <w:t>63</w:t>
            </w:r>
          </w:p>
        </w:tc>
        <w:tc>
          <w:tcPr>
            <w:tcW w:w="901" w:type="pct"/>
            <w:noWrap w:val="0"/>
            <w:vAlign w:val="center"/>
          </w:tcPr>
          <w:p w14:paraId="2154C93A">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使用计量器具许可证标志、编号和出厂产品合格证不齐全计量器具</w:t>
            </w:r>
            <w:r>
              <w:rPr>
                <w:rFonts w:hint="eastAsia" w:ascii="Times New Roman" w:hAnsi="Times New Roman" w:eastAsia="仿宋_GB2312" w:cs="仿宋_GB2312"/>
                <w:color w:val="auto"/>
                <w:sz w:val="21"/>
                <w:szCs w:val="21"/>
                <w:highlight w:val="none"/>
                <w:lang w:eastAsia="zh-CN"/>
              </w:rPr>
              <w:t>，或未经检定合格即投入使用的</w:t>
            </w:r>
          </w:p>
        </w:tc>
        <w:tc>
          <w:tcPr>
            <w:tcW w:w="790" w:type="pct"/>
            <w:noWrap w:val="0"/>
            <w:vAlign w:val="center"/>
          </w:tcPr>
          <w:p w14:paraId="3FB4D1FC">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31479F72">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b/>
                <w:bCs/>
                <w:color w:val="auto"/>
                <w:sz w:val="21"/>
                <w:szCs w:val="21"/>
                <w:highlight w:val="none"/>
              </w:rPr>
              <w:t>《加油站计量监督管理办法》</w:t>
            </w:r>
            <w:r>
              <w:rPr>
                <w:rFonts w:hint="eastAsia" w:ascii="Times New Roman" w:hAnsi="Times New Roman" w:eastAsia="仿宋_GB2312" w:cs="仿宋_GB2312"/>
                <w:color w:val="auto"/>
                <w:sz w:val="21"/>
                <w:szCs w:val="21"/>
                <w:highlight w:val="none"/>
              </w:rPr>
              <w:t>第五条</w:t>
            </w:r>
            <w:r>
              <w:rPr>
                <w:rFonts w:hint="eastAsia" w:ascii="Times New Roman" w:hAnsi="Times New Roman" w:eastAsia="仿宋_GB2312" w:cs="仿宋_GB2312"/>
                <w:color w:val="auto"/>
                <w:sz w:val="21"/>
                <w:szCs w:val="21"/>
                <w:highlight w:val="none"/>
                <w:lang w:eastAsia="zh-CN"/>
              </w:rPr>
              <w:t>第（四）项</w:t>
            </w:r>
            <w:r>
              <w:rPr>
                <w:rFonts w:hint="eastAsia" w:eastAsia="仿宋_GB2312" w:cs="仿宋_GB2312"/>
                <w:color w:val="auto"/>
                <w:sz w:val="21"/>
                <w:szCs w:val="21"/>
                <w:highlight w:val="none"/>
                <w:lang w:val="en-US" w:eastAsia="zh-CN"/>
              </w:rPr>
              <w:t xml:space="preserve">  </w:t>
            </w:r>
            <w:r>
              <w:rPr>
                <w:rFonts w:hint="eastAsia" w:ascii="Times New Roman" w:hAnsi="Times New Roman" w:eastAsia="仿宋_GB2312" w:cs="仿宋_GB2312"/>
                <w:color w:val="auto"/>
                <w:sz w:val="21"/>
                <w:szCs w:val="21"/>
                <w:highlight w:val="none"/>
              </w:rPr>
              <w:t>加油站经营者应当遵守以下规定：（四）使用的燃油加油机等计量器具应当具有出厂产品合格证书；燃油加油机安装后报经当地市场监督管理部门授权的法定计量检定机构检定合格，方可投入使用。</w:t>
            </w:r>
          </w:p>
          <w:p w14:paraId="579C27F3">
            <w:pPr>
              <w:keepNext w:val="0"/>
              <w:keepLines w:val="0"/>
              <w:pageBreakBefore w:val="0"/>
              <w:widowControl/>
              <w:spacing w:line="280" w:lineRule="exact"/>
              <w:ind w:firstLine="0"/>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第九条</w:t>
            </w:r>
            <w:r>
              <w:rPr>
                <w:rFonts w:hint="eastAsia" w:ascii="Times New Roman" w:hAnsi="Times New Roman" w:eastAsia="仿宋_GB2312" w:cs="仿宋_GB2312"/>
                <w:color w:val="auto"/>
                <w:sz w:val="21"/>
                <w:szCs w:val="21"/>
                <w:highlight w:val="none"/>
                <w:lang w:eastAsia="zh-CN"/>
              </w:rPr>
              <w:t>第（一）项</w:t>
            </w:r>
            <w:r>
              <w:rPr>
                <w:rFonts w:hint="eastAsia" w:ascii="Times New Roman" w:hAnsi="Times New Roman" w:eastAsia="仿宋_GB2312" w:cs="仿宋_GB2312"/>
                <w:color w:val="auto"/>
                <w:sz w:val="21"/>
                <w:szCs w:val="21"/>
                <w:highlight w:val="none"/>
              </w:rPr>
              <w:t>：加油站经营者违反本办法有关规定，应当按以下规定进行处罚：</w:t>
            </w:r>
            <w:r>
              <w:rPr>
                <w:rFonts w:hint="eastAsia" w:ascii="Times New Roman" w:hAnsi="Times New Roman" w:eastAsia="仿宋_GB2312" w:cs="仿宋_GB2312"/>
                <w:color w:val="auto"/>
                <w:sz w:val="21"/>
                <w:szCs w:val="21"/>
                <w:highlight w:val="none"/>
                <w:lang w:eastAsia="zh-CN"/>
              </w:rPr>
              <w:t>（一）</w:t>
            </w:r>
            <w:r>
              <w:rPr>
                <w:rFonts w:hint="eastAsia" w:ascii="Times New Roman" w:hAnsi="Times New Roman" w:eastAsia="仿宋_GB2312" w:cs="仿宋_GB2312"/>
                <w:color w:val="auto"/>
                <w:sz w:val="21"/>
                <w:szCs w:val="21"/>
                <w:highlight w:val="none"/>
              </w:rPr>
              <w:t>违反本办法第五条第</w:t>
            </w:r>
            <w:r>
              <w:rPr>
                <w:rFonts w:hint="eastAsia" w:ascii="Times New Roman" w:hAnsi="Times New Roman" w:eastAsia="仿宋_GB2312" w:cs="仿宋_GB2312"/>
                <w:color w:val="auto"/>
                <w:sz w:val="21"/>
                <w:szCs w:val="21"/>
                <w:highlight w:val="none"/>
                <w:lang w:eastAsia="zh-CN"/>
              </w:rPr>
              <w:t>（四）</w:t>
            </w:r>
            <w:r>
              <w:rPr>
                <w:rFonts w:hint="eastAsia" w:ascii="Times New Roman" w:hAnsi="Times New Roman" w:eastAsia="仿宋_GB2312" w:cs="仿宋_GB2312"/>
                <w:color w:val="auto"/>
                <w:sz w:val="21"/>
                <w:szCs w:val="21"/>
                <w:highlight w:val="none"/>
              </w:rPr>
              <w:t>项规定，使用计量器具许可证标志、编号和出厂产品合格证不齐全计量器具的，责令其停止使用，可并处2000元以下罚款。燃油加油机安装后未报经质量技术监督部门授权的法定计量检定机构强制检定合格即投入使用的，责令其停止使用，可并处5000元以下罚款；给国家和消费者造成损失的，责令其赔偿损失，可并处5000元以上30000元以下罚款。</w:t>
            </w:r>
          </w:p>
        </w:tc>
      </w:tr>
      <w:tr w14:paraId="3CF1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307" w:type="pct"/>
            <w:noWrap w:val="0"/>
            <w:vAlign w:val="center"/>
          </w:tcPr>
          <w:p w14:paraId="011EBCC6">
            <w:pPr>
              <w:widowControl/>
              <w:spacing w:line="280" w:lineRule="exact"/>
              <w:jc w:val="center"/>
              <w:rPr>
                <w:rFonts w:hint="eastAsia" w:ascii="Times New Roman" w:hAnsi="Times New Roman" w:eastAsia="仿宋" w:cs="仿宋"/>
                <w:color w:val="auto"/>
                <w:sz w:val="21"/>
                <w:szCs w:val="21"/>
                <w:highlight w:val="none"/>
                <w:lang w:val="en-US" w:eastAsia="zh-CN"/>
              </w:rPr>
            </w:pPr>
            <w:r>
              <w:rPr>
                <w:rFonts w:hint="eastAsia" w:ascii="Times New Roman" w:hAnsi="Times New Roman" w:eastAsia="仿宋" w:cs="仿宋"/>
                <w:color w:val="auto"/>
                <w:sz w:val="21"/>
                <w:szCs w:val="21"/>
                <w:highlight w:val="none"/>
                <w:lang w:val="en-US" w:eastAsia="zh-CN"/>
              </w:rPr>
              <w:t>64</w:t>
            </w:r>
          </w:p>
        </w:tc>
        <w:tc>
          <w:tcPr>
            <w:tcW w:w="901" w:type="pct"/>
            <w:noWrap w:val="0"/>
            <w:vAlign w:val="center"/>
          </w:tcPr>
          <w:p w14:paraId="665DB811">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eastAsia="zh-CN"/>
              </w:rPr>
            </w:pPr>
            <w:r>
              <w:rPr>
                <w:rFonts w:hint="eastAsia" w:ascii="Times New Roman" w:hAnsi="Times New Roman" w:eastAsia="仿宋_GB2312" w:cs="仿宋_GB2312"/>
                <w:color w:val="auto"/>
                <w:sz w:val="21"/>
                <w:szCs w:val="21"/>
                <w:highlight w:val="none"/>
                <w:lang w:eastAsia="zh-CN"/>
              </w:rPr>
              <w:t>对需要维修的燃油加油机未按规定报修或未经检定合格即投入使用的</w:t>
            </w:r>
          </w:p>
        </w:tc>
        <w:tc>
          <w:tcPr>
            <w:tcW w:w="790" w:type="pct"/>
            <w:noWrap w:val="0"/>
            <w:vAlign w:val="center"/>
          </w:tcPr>
          <w:p w14:paraId="7E4ECDB6">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17280A2E">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b/>
                <w:bCs/>
                <w:color w:val="auto"/>
                <w:sz w:val="21"/>
                <w:szCs w:val="21"/>
                <w:highlight w:val="none"/>
              </w:rPr>
              <w:t>《加油站计量监督管理办法》</w:t>
            </w:r>
            <w:r>
              <w:rPr>
                <w:rFonts w:hint="eastAsia" w:ascii="Times New Roman" w:hAnsi="Times New Roman" w:eastAsia="仿宋_GB2312" w:cs="仿宋_GB2312"/>
                <w:color w:val="auto"/>
                <w:sz w:val="21"/>
                <w:szCs w:val="21"/>
                <w:highlight w:val="none"/>
              </w:rPr>
              <w:t>第五条</w:t>
            </w:r>
            <w:r>
              <w:rPr>
                <w:rFonts w:hint="eastAsia" w:ascii="Times New Roman" w:hAnsi="Times New Roman" w:eastAsia="仿宋_GB2312" w:cs="仿宋_GB2312"/>
                <w:color w:val="auto"/>
                <w:sz w:val="21"/>
                <w:szCs w:val="21"/>
                <w:highlight w:val="none"/>
                <w:lang w:eastAsia="zh-CN"/>
              </w:rPr>
              <w:t>第（五）项</w:t>
            </w:r>
            <w:r>
              <w:rPr>
                <w:rFonts w:hint="eastAsia" w:eastAsia="仿宋_GB2312" w:cs="仿宋_GB2312"/>
                <w:color w:val="auto"/>
                <w:sz w:val="21"/>
                <w:szCs w:val="21"/>
                <w:highlight w:val="none"/>
                <w:lang w:val="en-US" w:eastAsia="zh-CN"/>
              </w:rPr>
              <w:t xml:space="preserve">  </w:t>
            </w:r>
            <w:r>
              <w:rPr>
                <w:rFonts w:hint="eastAsia" w:ascii="Times New Roman" w:hAnsi="Times New Roman" w:eastAsia="仿宋_GB2312" w:cs="仿宋_GB2312"/>
                <w:color w:val="auto"/>
                <w:sz w:val="21"/>
                <w:szCs w:val="21"/>
                <w:highlight w:val="none"/>
              </w:rPr>
              <w:t>加油站经营者应当遵守以下规定：（五）需要维修燃油加油机，应当向具有合法维修资格的单位报修，维修后的燃油加油机应当报经执行强制检定的法定计量检定机构检定合格后，方可重新投入使用。</w:t>
            </w:r>
          </w:p>
          <w:p w14:paraId="4F4EA286">
            <w:pPr>
              <w:keepNext w:val="0"/>
              <w:keepLines w:val="0"/>
              <w:pageBreakBefore w:val="0"/>
              <w:widowControl/>
              <w:spacing w:line="280" w:lineRule="exact"/>
              <w:ind w:firstLine="0"/>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第九条</w:t>
            </w:r>
            <w:r>
              <w:rPr>
                <w:rFonts w:hint="eastAsia" w:ascii="Times New Roman" w:hAnsi="Times New Roman" w:eastAsia="仿宋_GB2312" w:cs="仿宋_GB2312"/>
                <w:color w:val="auto"/>
                <w:sz w:val="21"/>
                <w:szCs w:val="21"/>
                <w:highlight w:val="none"/>
                <w:lang w:eastAsia="zh-CN"/>
              </w:rPr>
              <w:t>第（二）项</w:t>
            </w:r>
            <w:r>
              <w:rPr>
                <w:rFonts w:hint="eastAsia" w:ascii="Times New Roman" w:hAnsi="Times New Roman" w:eastAsia="仿宋_GB2312" w:cs="仿宋_GB2312"/>
                <w:color w:val="auto"/>
                <w:sz w:val="21"/>
                <w:szCs w:val="21"/>
                <w:highlight w:val="none"/>
              </w:rPr>
              <w:t>：加油站经营者违反本办法有关规定，应当按以下规定进行处罚：（二）违反本办法第五条第（五）项规定的，责令改正和停止使用，可并处5000元以下罚款；给消费者造成损失的，责令其赔偿损失，可并处5000元以上30000元以下罚款。</w:t>
            </w:r>
          </w:p>
        </w:tc>
      </w:tr>
      <w:tr w14:paraId="1CAC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7" w:hRule="atLeast"/>
          <w:jc w:val="center"/>
        </w:trPr>
        <w:tc>
          <w:tcPr>
            <w:tcW w:w="307" w:type="pct"/>
            <w:noWrap w:val="0"/>
            <w:vAlign w:val="center"/>
          </w:tcPr>
          <w:p w14:paraId="5F1D0DB5">
            <w:pPr>
              <w:widowControl/>
              <w:spacing w:line="280" w:lineRule="exact"/>
              <w:jc w:val="center"/>
              <w:rPr>
                <w:rFonts w:hint="default" w:ascii="Times New Roman" w:hAnsi="Times New Roman" w:eastAsia="仿宋" w:cs="仿宋"/>
                <w:color w:val="auto"/>
                <w:sz w:val="21"/>
                <w:szCs w:val="21"/>
                <w:highlight w:val="none"/>
                <w:lang w:val="en-US" w:eastAsia="zh-CN"/>
              </w:rPr>
            </w:pPr>
            <w:r>
              <w:rPr>
                <w:rFonts w:hint="eastAsia" w:ascii="Times New Roman" w:hAnsi="Times New Roman" w:eastAsia="仿宋" w:cs="仿宋"/>
                <w:color w:val="auto"/>
                <w:sz w:val="21"/>
                <w:szCs w:val="21"/>
                <w:highlight w:val="none"/>
                <w:lang w:val="en-US" w:eastAsia="zh-CN"/>
              </w:rPr>
              <w:t>65</w:t>
            </w:r>
          </w:p>
        </w:tc>
        <w:tc>
          <w:tcPr>
            <w:tcW w:w="901" w:type="pct"/>
            <w:noWrap w:val="0"/>
            <w:vAlign w:val="center"/>
          </w:tcPr>
          <w:p w14:paraId="409EA7A3">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eastAsia="zh-CN"/>
              </w:rPr>
            </w:pPr>
            <w:r>
              <w:rPr>
                <w:rFonts w:hint="eastAsia" w:ascii="Times New Roman" w:hAnsi="Times New Roman" w:eastAsia="仿宋_GB2312" w:cs="仿宋_GB2312"/>
                <w:color w:val="auto"/>
                <w:sz w:val="21"/>
                <w:szCs w:val="21"/>
                <w:highlight w:val="none"/>
                <w:lang w:eastAsia="zh-CN"/>
              </w:rPr>
              <w:t>使用未经检定、超过检定周期或者经检定不合格的计量器具的</w:t>
            </w:r>
          </w:p>
        </w:tc>
        <w:tc>
          <w:tcPr>
            <w:tcW w:w="790" w:type="pct"/>
            <w:noWrap w:val="0"/>
            <w:vAlign w:val="center"/>
          </w:tcPr>
          <w:p w14:paraId="48D6DA31">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lang w:val="en-US" w:eastAsia="zh-CN" w:bidi="ar-SA"/>
              </w:rPr>
            </w:pPr>
            <w:r>
              <w:rPr>
                <w:rFonts w:hint="eastAsia" w:ascii="Times New Roman" w:hAnsi="Times New Roman" w:eastAsia="仿宋_GB2312" w:cs="仿宋_GB2312"/>
                <w:color w:val="auto"/>
                <w:sz w:val="21"/>
                <w:szCs w:val="21"/>
                <w:highlight w:val="none"/>
              </w:rPr>
              <w:t>属于首次违法，</w:t>
            </w:r>
            <w:r>
              <w:rPr>
                <w:rFonts w:hint="eastAsia" w:ascii="Times New Roman" w:hAnsi="Times New Roman" w:eastAsia="仿宋_GB2312" w:cs="仿宋_GB2312"/>
                <w:color w:val="auto"/>
                <w:sz w:val="21"/>
                <w:szCs w:val="21"/>
                <w:highlight w:val="none"/>
                <w:lang w:eastAsia="zh-CN"/>
              </w:rPr>
              <w:t>后果轻微</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主动改正或</w:t>
            </w:r>
            <w:r>
              <w:rPr>
                <w:rFonts w:hint="eastAsia" w:ascii="Times New Roman" w:hAnsi="Times New Roman" w:eastAsia="仿宋_GB2312" w:cs="仿宋_GB2312"/>
                <w:color w:val="auto"/>
                <w:sz w:val="21"/>
                <w:szCs w:val="21"/>
                <w:highlight w:val="none"/>
              </w:rPr>
              <w:t>在责令改正期限内改正的</w:t>
            </w:r>
          </w:p>
        </w:tc>
        <w:tc>
          <w:tcPr>
            <w:tcW w:w="3000" w:type="pct"/>
            <w:noWrap w:val="0"/>
            <w:vAlign w:val="center"/>
          </w:tcPr>
          <w:p w14:paraId="4AEF39A2">
            <w:pPr>
              <w:keepNext w:val="0"/>
              <w:keepLines w:val="0"/>
              <w:pageBreakBefore w:val="0"/>
              <w:widowControl/>
              <w:spacing w:line="280" w:lineRule="exac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b/>
                <w:bCs/>
                <w:color w:val="auto"/>
                <w:sz w:val="21"/>
                <w:szCs w:val="21"/>
                <w:highlight w:val="none"/>
              </w:rPr>
              <w:t>《加油站计量监督管理办法》</w:t>
            </w:r>
            <w:r>
              <w:rPr>
                <w:rFonts w:hint="eastAsia" w:ascii="Times New Roman" w:hAnsi="Times New Roman" w:eastAsia="仿宋_GB2312" w:cs="仿宋_GB2312"/>
                <w:color w:val="auto"/>
                <w:sz w:val="21"/>
                <w:szCs w:val="21"/>
                <w:highlight w:val="none"/>
              </w:rPr>
              <w:t>第五条</w:t>
            </w:r>
            <w:r>
              <w:rPr>
                <w:rFonts w:hint="eastAsia" w:ascii="Times New Roman" w:hAnsi="Times New Roman" w:eastAsia="仿宋_GB2312" w:cs="仿宋_GB2312"/>
                <w:color w:val="auto"/>
                <w:sz w:val="21"/>
                <w:szCs w:val="21"/>
                <w:highlight w:val="none"/>
                <w:lang w:eastAsia="zh-CN"/>
              </w:rPr>
              <w:t>第（七）项</w:t>
            </w:r>
            <w:r>
              <w:rPr>
                <w:rFonts w:hint="eastAsia" w:eastAsia="仿宋_GB2312" w:cs="仿宋_GB2312"/>
                <w:color w:val="auto"/>
                <w:sz w:val="21"/>
                <w:szCs w:val="21"/>
                <w:highlight w:val="none"/>
                <w:lang w:val="en-US" w:eastAsia="zh-CN"/>
              </w:rPr>
              <w:t xml:space="preserve">  </w:t>
            </w:r>
            <w:r>
              <w:rPr>
                <w:rFonts w:hint="eastAsia" w:ascii="Times New Roman" w:hAnsi="Times New Roman" w:eastAsia="仿宋_GB2312" w:cs="仿宋_GB2312"/>
                <w:color w:val="auto"/>
                <w:sz w:val="21"/>
                <w:szCs w:val="21"/>
                <w:highlight w:val="none"/>
              </w:rPr>
              <w:t>加油站经营者应当遵守以下规定：（七）不得使用未经检定、超过检定周期或者经检定不合格的计量器具；不得破坏计量器具及其铅（签）封，不得擅自改动、拆装燃油加油机，不得使用未经批准而改动的燃油加油机，不得弄虚作假。</w:t>
            </w:r>
          </w:p>
          <w:p w14:paraId="2A36B340">
            <w:pPr>
              <w:keepNext w:val="0"/>
              <w:keepLines w:val="0"/>
              <w:pageBreakBefore w:val="0"/>
              <w:widowControl/>
              <w:spacing w:line="280" w:lineRule="exact"/>
              <w:ind w:firstLine="0"/>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第九条</w:t>
            </w:r>
            <w:r>
              <w:rPr>
                <w:rFonts w:hint="eastAsia" w:ascii="Times New Roman" w:hAnsi="Times New Roman" w:eastAsia="仿宋_GB2312" w:cs="仿宋_GB2312"/>
                <w:color w:val="auto"/>
                <w:sz w:val="21"/>
                <w:szCs w:val="21"/>
                <w:highlight w:val="none"/>
                <w:lang w:eastAsia="zh-CN"/>
              </w:rPr>
              <w:t>第（三）项</w:t>
            </w:r>
            <w:r>
              <w:rPr>
                <w:rFonts w:hint="eastAsia" w:ascii="Times New Roman" w:hAnsi="Times New Roman" w:eastAsia="仿宋_GB2312" w:cs="仿宋_GB2312"/>
                <w:color w:val="auto"/>
                <w:sz w:val="21"/>
                <w:szCs w:val="21"/>
                <w:highlight w:val="none"/>
              </w:rPr>
              <w:t>：加油站经营者违反本办法有关规定，应当按以下规定进行处罚：（三）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有关规定予以处罚；构成犯罪的，依法追究刑事责任。</w:t>
            </w:r>
          </w:p>
        </w:tc>
      </w:tr>
      <w:tr w14:paraId="0D01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2" w:hRule="atLeast"/>
          <w:jc w:val="center"/>
        </w:trPr>
        <w:tc>
          <w:tcPr>
            <w:tcW w:w="307" w:type="pct"/>
            <w:noWrap w:val="0"/>
            <w:vAlign w:val="center"/>
          </w:tcPr>
          <w:p w14:paraId="1C895497">
            <w:pPr>
              <w:widowControl/>
              <w:spacing w:line="280" w:lineRule="exact"/>
              <w:jc w:val="center"/>
              <w:rPr>
                <w:rFonts w:hint="default" w:ascii="Times New Roman" w:hAnsi="Times New Roman" w:eastAsia="仿宋" w:cs="仿宋"/>
                <w:color w:val="auto"/>
                <w:sz w:val="21"/>
                <w:szCs w:val="21"/>
                <w:highlight w:val="none"/>
                <w:lang w:val="en-US" w:eastAsia="zh-CN"/>
              </w:rPr>
            </w:pPr>
            <w:r>
              <w:rPr>
                <w:rFonts w:hint="eastAsia" w:ascii="Times New Roman" w:hAnsi="Times New Roman" w:eastAsia="仿宋" w:cs="仿宋"/>
                <w:color w:val="auto"/>
                <w:sz w:val="21"/>
                <w:szCs w:val="21"/>
                <w:highlight w:val="none"/>
                <w:lang w:val="en-US" w:eastAsia="zh-CN"/>
              </w:rPr>
              <w:t>66</w:t>
            </w:r>
          </w:p>
        </w:tc>
        <w:tc>
          <w:tcPr>
            <w:tcW w:w="901" w:type="pct"/>
            <w:noWrap w:val="0"/>
            <w:vAlign w:val="center"/>
          </w:tcPr>
          <w:p w14:paraId="09BBD494">
            <w:pPr>
              <w:keepNext w:val="0"/>
              <w:keepLines w:val="0"/>
              <w:pageBreakBefore w:val="0"/>
              <w:widowControl/>
              <w:spacing w:line="280" w:lineRule="exact"/>
              <w:jc w:val="left"/>
              <w:rPr>
                <w:rFonts w:hint="eastAsia" w:ascii="Times New Roman" w:hAnsi="Times New Roman" w:eastAsia="仿宋_GB2312" w:cs="仿宋_GB2312"/>
                <w:color w:val="auto"/>
                <w:sz w:val="21"/>
                <w:szCs w:val="21"/>
                <w:highlight w:val="none"/>
                <w:lang w:eastAsia="zh-CN"/>
              </w:rPr>
            </w:pPr>
            <w:r>
              <w:rPr>
                <w:rFonts w:hint="eastAsia" w:ascii="Times New Roman" w:hAnsi="Times New Roman" w:eastAsia="仿宋_GB2312" w:cs="仿宋_GB2312"/>
                <w:color w:val="auto"/>
                <w:sz w:val="21"/>
                <w:szCs w:val="21"/>
                <w:highlight w:val="none"/>
                <w:lang w:eastAsia="zh-CN"/>
              </w:rPr>
              <w:t>其他符合不予处罚条件的</w:t>
            </w:r>
          </w:p>
        </w:tc>
        <w:tc>
          <w:tcPr>
            <w:tcW w:w="790" w:type="pct"/>
            <w:noWrap w:val="0"/>
            <w:vAlign w:val="center"/>
          </w:tcPr>
          <w:p w14:paraId="248D5248">
            <w:pPr>
              <w:keepNext w:val="0"/>
              <w:keepLines w:val="0"/>
              <w:pageBreakBefore w:val="0"/>
              <w:widowControl/>
              <w:numPr>
                <w:ilvl w:val="0"/>
                <w:numId w:val="0"/>
              </w:numPr>
              <w:spacing w:line="300" w:lineRule="exact"/>
              <w:rPr>
                <w:rFonts w:hint="eastAsia" w:ascii="Times New Roman" w:hAnsi="Times New Roman" w:eastAsia="仿宋_GB2312" w:cs="仿宋_GB2312"/>
                <w:color w:val="auto"/>
                <w:sz w:val="21"/>
                <w:szCs w:val="21"/>
                <w:highlight w:val="none"/>
                <w:lang w:val="en-US" w:eastAsia="zh-CN"/>
              </w:rPr>
            </w:pPr>
            <w:r>
              <w:rPr>
                <w:rFonts w:hint="eastAsia" w:ascii="Times New Roman" w:hAnsi="Times New Roman" w:eastAsia="仿宋_GB2312" w:cs="仿宋_GB2312"/>
                <w:color w:val="auto"/>
                <w:sz w:val="21"/>
                <w:szCs w:val="21"/>
                <w:highlight w:val="none"/>
                <w:lang w:val="en-US" w:eastAsia="zh-CN"/>
              </w:rPr>
              <w:t>1.行为轻微、没有危害后果、及时改正的；</w:t>
            </w:r>
          </w:p>
          <w:p w14:paraId="6AA3B5D4">
            <w:pPr>
              <w:keepNext w:val="0"/>
              <w:keepLines w:val="0"/>
              <w:pageBreakBefore w:val="0"/>
              <w:widowControl/>
              <w:numPr>
                <w:ilvl w:val="0"/>
                <w:numId w:val="0"/>
              </w:numPr>
              <w:spacing w:line="300" w:lineRule="exact"/>
              <w:rPr>
                <w:rFonts w:hint="default" w:ascii="Times New Roman" w:hAnsi="Times New Roman" w:eastAsia="仿宋_GB2312" w:cs="仿宋_GB2312"/>
                <w:color w:val="auto"/>
                <w:sz w:val="21"/>
                <w:szCs w:val="21"/>
                <w:highlight w:val="none"/>
                <w:lang w:val="en-US" w:eastAsia="zh-CN"/>
              </w:rPr>
            </w:pPr>
            <w:r>
              <w:rPr>
                <w:rFonts w:hint="eastAsia" w:ascii="Times New Roman" w:hAnsi="Times New Roman" w:eastAsia="仿宋_GB2312" w:cs="仿宋_GB2312"/>
                <w:color w:val="auto"/>
                <w:sz w:val="21"/>
                <w:szCs w:val="21"/>
                <w:highlight w:val="none"/>
                <w:lang w:val="en-US" w:eastAsia="zh-CN"/>
              </w:rPr>
              <w:t>2.首次违法、危害后果轻微、及时改正的；</w:t>
            </w:r>
          </w:p>
          <w:p w14:paraId="7FFB91AE">
            <w:pPr>
              <w:keepNext w:val="0"/>
              <w:keepLines w:val="0"/>
              <w:pageBreakBefore w:val="0"/>
              <w:widowControl/>
              <w:numPr>
                <w:ilvl w:val="0"/>
                <w:numId w:val="0"/>
              </w:numPr>
              <w:spacing w:line="300" w:lineRule="exact"/>
              <w:rPr>
                <w:rFonts w:hint="default" w:ascii="Times New Roman" w:hAnsi="Times New Roman" w:eastAsia="仿宋_GB2312" w:cs="仿宋_GB2312"/>
                <w:color w:val="auto"/>
                <w:sz w:val="21"/>
                <w:szCs w:val="21"/>
                <w:highlight w:val="none"/>
                <w:lang w:val="en-US" w:eastAsia="zh-CN"/>
              </w:rPr>
            </w:pPr>
            <w:r>
              <w:rPr>
                <w:rFonts w:hint="eastAsia" w:ascii="Times New Roman" w:hAnsi="Times New Roman" w:eastAsia="仿宋_GB2312" w:cs="仿宋_GB2312"/>
                <w:color w:val="auto"/>
                <w:sz w:val="21"/>
                <w:szCs w:val="21"/>
                <w:highlight w:val="none"/>
                <w:lang w:val="en-US" w:eastAsia="zh-CN"/>
              </w:rPr>
              <w:t>3.依据法律法规规定，有充分证据证明无主观过错的</w:t>
            </w:r>
          </w:p>
        </w:tc>
        <w:tc>
          <w:tcPr>
            <w:tcW w:w="3000" w:type="pct"/>
            <w:noWrap w:val="0"/>
            <w:vAlign w:val="center"/>
          </w:tcPr>
          <w:p w14:paraId="21EBBB31">
            <w:pPr>
              <w:keepNext w:val="0"/>
              <w:keepLines w:val="0"/>
              <w:pageBreakBefore w:val="0"/>
              <w:widowControl/>
              <w:spacing w:line="300" w:lineRule="exact"/>
              <w:rPr>
                <w:rFonts w:hint="eastAsia" w:ascii="Times New Roman" w:hAnsi="Times New Roman" w:eastAsia="仿宋_GB2312" w:cs="仿宋_GB2312"/>
                <w:color w:val="auto"/>
                <w:sz w:val="21"/>
                <w:szCs w:val="21"/>
                <w:highlight w:val="none"/>
                <w:lang w:eastAsia="zh-CN"/>
              </w:rPr>
            </w:pPr>
            <w:r>
              <w:rPr>
                <w:rFonts w:hint="eastAsia" w:ascii="Times New Roman" w:hAnsi="Times New Roman" w:eastAsia="仿宋_GB2312" w:cs="仿宋_GB2312"/>
                <w:b/>
                <w:bCs/>
                <w:color w:val="auto"/>
                <w:sz w:val="21"/>
                <w:szCs w:val="21"/>
                <w:highlight w:val="none"/>
                <w:lang w:eastAsia="zh-CN"/>
              </w:rPr>
              <w:t>《中华人民共和国行政处罚法》</w:t>
            </w:r>
            <w:r>
              <w:rPr>
                <w:rFonts w:hint="eastAsia" w:ascii="Times New Roman" w:hAnsi="Times New Roman" w:eastAsia="仿宋_GB2312" w:cs="仿宋_GB2312"/>
                <w:color w:val="auto"/>
                <w:sz w:val="21"/>
                <w:szCs w:val="21"/>
                <w:highlight w:val="none"/>
                <w:lang w:eastAsia="zh-CN"/>
              </w:rPr>
              <w:t>第三十三条</w:t>
            </w:r>
            <w:r>
              <w:rPr>
                <w:rFonts w:hint="eastAsia" w:eastAsia="仿宋_GB2312" w:cs="仿宋_GB2312"/>
                <w:color w:val="auto"/>
                <w:sz w:val="21"/>
                <w:szCs w:val="21"/>
                <w:highlight w:val="none"/>
                <w:lang w:val="en-US" w:eastAsia="zh-CN"/>
              </w:rPr>
              <w:t xml:space="preserve">  </w:t>
            </w:r>
            <w:r>
              <w:rPr>
                <w:rFonts w:hint="eastAsia" w:ascii="Times New Roman" w:hAnsi="Times New Roman" w:eastAsia="仿宋_GB2312" w:cs="仿宋_GB2312"/>
                <w:color w:val="auto"/>
                <w:sz w:val="21"/>
                <w:szCs w:val="21"/>
                <w:highlight w:val="none"/>
                <w:lang w:eastAsia="zh-CN"/>
              </w:rPr>
              <w:t>违法行为轻微并及时改正，没有造成危害后果的，不予行政处罚。初次违法且危害后果轻微并及时改正的，可以不予行政处罚。</w:t>
            </w:r>
          </w:p>
          <w:p w14:paraId="4A9319AF">
            <w:pPr>
              <w:keepNext w:val="0"/>
              <w:keepLines w:val="0"/>
              <w:pageBreakBefore w:val="0"/>
              <w:widowControl/>
              <w:spacing w:line="300" w:lineRule="exact"/>
              <w:ind w:firstLine="0"/>
              <w:rPr>
                <w:rFonts w:hint="eastAsia" w:ascii="Times New Roman" w:hAnsi="Times New Roman" w:eastAsia="仿宋_GB2312" w:cs="仿宋_GB2312"/>
                <w:color w:val="auto"/>
                <w:sz w:val="21"/>
                <w:szCs w:val="21"/>
                <w:highlight w:val="none"/>
                <w:lang w:eastAsia="zh-CN"/>
              </w:rPr>
            </w:pPr>
            <w:r>
              <w:rPr>
                <w:rFonts w:hint="eastAsia" w:ascii="Times New Roman" w:hAnsi="Times New Roman" w:eastAsia="仿宋_GB2312" w:cs="仿宋_GB2312"/>
                <w:color w:val="auto"/>
                <w:sz w:val="21"/>
                <w:szCs w:val="21"/>
                <w:highlight w:val="none"/>
                <w:lang w:eastAsia="zh-CN"/>
              </w:rPr>
              <w:t>当事人有证据足以证明没有主观过错的，不予行政处罚。法律、行政法规另有规定的，从其规定。</w:t>
            </w:r>
          </w:p>
          <w:p w14:paraId="5D04932B">
            <w:pPr>
              <w:keepNext w:val="0"/>
              <w:keepLines w:val="0"/>
              <w:pageBreakBefore w:val="0"/>
              <w:widowControl/>
              <w:spacing w:line="300" w:lineRule="exact"/>
              <w:ind w:firstLine="0"/>
              <w:rPr>
                <w:rFonts w:hint="eastAsia" w:ascii="Times New Roman" w:hAnsi="Times New Roman" w:eastAsia="仿宋_GB2312" w:cs="仿宋_GB2312"/>
                <w:color w:val="auto"/>
                <w:sz w:val="21"/>
                <w:szCs w:val="21"/>
                <w:highlight w:val="none"/>
                <w:lang w:eastAsia="zh-CN"/>
              </w:rPr>
            </w:pPr>
            <w:r>
              <w:rPr>
                <w:rFonts w:hint="eastAsia" w:ascii="Times New Roman" w:hAnsi="Times New Roman" w:eastAsia="仿宋_GB2312" w:cs="仿宋_GB2312"/>
                <w:color w:val="auto"/>
                <w:sz w:val="21"/>
                <w:szCs w:val="21"/>
                <w:highlight w:val="none"/>
                <w:lang w:eastAsia="zh-CN"/>
              </w:rPr>
              <w:t>对当事人的违法行为依法不予行政处罚的，行政机关应当对当事人进行教育。</w:t>
            </w:r>
          </w:p>
        </w:tc>
      </w:tr>
    </w:tbl>
    <w:p w14:paraId="5A637D9D">
      <w:pPr>
        <w:keepNext w:val="0"/>
        <w:keepLines w:val="0"/>
        <w:pageBreakBefore w:val="0"/>
        <w:widowControl w:val="0"/>
        <w:spacing w:line="14" w:lineRule="exact"/>
        <w:rPr>
          <w:rFonts w:ascii="Times New Roman" w:hAnsi="Times New Roman"/>
          <w:color w:val="auto"/>
          <w:highlight w:val="none"/>
        </w:rPr>
      </w:pPr>
    </w:p>
    <w:p w14:paraId="1F555CD3">
      <w:pPr>
        <w:spacing w:line="560" w:lineRule="exact"/>
        <w:jc w:val="both"/>
        <w:rPr>
          <w:rFonts w:hint="eastAsia" w:eastAsia="仿宋_GB2312"/>
          <w:color w:val="FF0000"/>
          <w:sz w:val="28"/>
          <w:szCs w:val="28"/>
        </w:rPr>
      </w:pPr>
    </w:p>
    <w:p w14:paraId="10CEA72C">
      <w:pPr>
        <w:spacing w:line="560" w:lineRule="exact"/>
        <w:jc w:val="both"/>
        <w:rPr>
          <w:rFonts w:hint="eastAsia" w:eastAsia="仿宋_GB2312"/>
          <w:color w:val="FF0000"/>
          <w:sz w:val="28"/>
          <w:szCs w:val="28"/>
        </w:rPr>
      </w:pPr>
    </w:p>
    <w:p w14:paraId="13ADDC3F">
      <w:pPr>
        <w:spacing w:line="560" w:lineRule="exact"/>
        <w:jc w:val="both"/>
        <w:rPr>
          <w:rFonts w:hint="eastAsia" w:eastAsia="仿宋_GB2312"/>
          <w:color w:val="FF0000"/>
          <w:sz w:val="28"/>
          <w:szCs w:val="28"/>
        </w:rPr>
        <w:sectPr>
          <w:footerReference r:id="rId3" w:type="default"/>
          <w:pgSz w:w="11906" w:h="16838" w:orient="landscape"/>
          <w:pgMar w:top="2098" w:right="1531" w:bottom="1984" w:left="1531" w:header="851" w:footer="1417" w:gutter="0"/>
          <w:cols w:space="720" w:num="1"/>
        </w:sectPr>
      </w:pPr>
    </w:p>
    <w:p w14:paraId="6EA90F80">
      <w:pPr>
        <w:spacing w:line="560" w:lineRule="exact"/>
        <w:jc w:val="both"/>
        <w:rPr>
          <w:rFonts w:hint="eastAsia" w:eastAsia="仿宋_GB2312"/>
          <w:color w:val="FF0000"/>
          <w:sz w:val="28"/>
          <w:szCs w:val="28"/>
        </w:rPr>
      </w:pPr>
    </w:p>
    <w:p w14:paraId="19DD980A">
      <w:pPr>
        <w:spacing w:line="560" w:lineRule="exact"/>
        <w:jc w:val="both"/>
        <w:rPr>
          <w:rFonts w:hint="eastAsia" w:eastAsia="仿宋_GB2312"/>
          <w:color w:val="FF0000"/>
          <w:sz w:val="28"/>
          <w:szCs w:val="28"/>
        </w:rPr>
      </w:pPr>
    </w:p>
    <w:p w14:paraId="20519EAF">
      <w:pPr>
        <w:spacing w:line="560" w:lineRule="exact"/>
        <w:jc w:val="both"/>
        <w:rPr>
          <w:rFonts w:hint="eastAsia" w:eastAsia="仿宋_GB2312"/>
          <w:color w:val="FF0000"/>
          <w:sz w:val="28"/>
          <w:szCs w:val="28"/>
        </w:rPr>
      </w:pPr>
    </w:p>
    <w:p w14:paraId="6BCE42D6">
      <w:pPr>
        <w:spacing w:line="560" w:lineRule="exact"/>
        <w:jc w:val="both"/>
        <w:rPr>
          <w:rFonts w:hint="eastAsia" w:eastAsia="仿宋_GB2312"/>
          <w:color w:val="FF0000"/>
          <w:sz w:val="28"/>
          <w:szCs w:val="28"/>
        </w:rPr>
      </w:pPr>
    </w:p>
    <w:p w14:paraId="7CFDB47D">
      <w:pPr>
        <w:spacing w:line="560" w:lineRule="exact"/>
        <w:jc w:val="both"/>
        <w:rPr>
          <w:rFonts w:hint="eastAsia" w:eastAsia="仿宋_GB2312"/>
          <w:color w:val="FF0000"/>
          <w:sz w:val="28"/>
          <w:szCs w:val="28"/>
        </w:rPr>
      </w:pPr>
    </w:p>
    <w:p w14:paraId="63AD191A">
      <w:pPr>
        <w:spacing w:line="560" w:lineRule="exact"/>
        <w:jc w:val="both"/>
        <w:rPr>
          <w:rFonts w:hint="eastAsia" w:eastAsia="仿宋_GB2312"/>
          <w:color w:val="FF0000"/>
          <w:sz w:val="28"/>
          <w:szCs w:val="28"/>
        </w:rPr>
      </w:pPr>
    </w:p>
    <w:p w14:paraId="6C252859">
      <w:pPr>
        <w:spacing w:line="560" w:lineRule="exact"/>
        <w:jc w:val="both"/>
        <w:rPr>
          <w:rFonts w:hint="eastAsia" w:eastAsia="仿宋_GB2312"/>
          <w:color w:val="FF0000"/>
          <w:sz w:val="28"/>
          <w:szCs w:val="28"/>
        </w:rPr>
      </w:pPr>
    </w:p>
    <w:p w14:paraId="5D8E53F5">
      <w:pPr>
        <w:spacing w:line="560" w:lineRule="exact"/>
        <w:jc w:val="both"/>
        <w:rPr>
          <w:rFonts w:hint="eastAsia" w:eastAsia="仿宋_GB2312"/>
          <w:color w:val="FF0000"/>
          <w:sz w:val="28"/>
          <w:szCs w:val="28"/>
        </w:rPr>
      </w:pPr>
    </w:p>
    <w:p w14:paraId="2631477F">
      <w:pPr>
        <w:spacing w:line="560" w:lineRule="exact"/>
        <w:jc w:val="both"/>
        <w:rPr>
          <w:rFonts w:hint="eastAsia" w:eastAsia="仿宋_GB2312"/>
          <w:color w:val="FF0000"/>
          <w:sz w:val="28"/>
          <w:szCs w:val="28"/>
        </w:rPr>
      </w:pPr>
    </w:p>
    <w:p w14:paraId="7A9C2AE7">
      <w:pPr>
        <w:spacing w:line="560" w:lineRule="exact"/>
        <w:jc w:val="both"/>
        <w:rPr>
          <w:rFonts w:hint="eastAsia" w:eastAsia="仿宋_GB2312"/>
          <w:color w:val="FF0000"/>
          <w:sz w:val="28"/>
          <w:szCs w:val="28"/>
        </w:rPr>
      </w:pPr>
    </w:p>
    <w:p w14:paraId="510C9121">
      <w:pPr>
        <w:spacing w:line="560" w:lineRule="exact"/>
        <w:jc w:val="both"/>
        <w:rPr>
          <w:rFonts w:hint="eastAsia" w:eastAsia="仿宋_GB2312"/>
          <w:color w:val="FF0000"/>
          <w:sz w:val="28"/>
          <w:szCs w:val="28"/>
        </w:rPr>
      </w:pPr>
    </w:p>
    <w:p w14:paraId="2984A26B">
      <w:pPr>
        <w:spacing w:line="560" w:lineRule="exact"/>
        <w:jc w:val="both"/>
        <w:rPr>
          <w:rFonts w:hint="eastAsia" w:eastAsia="仿宋_GB2312"/>
          <w:color w:val="FF0000"/>
          <w:sz w:val="28"/>
          <w:szCs w:val="28"/>
        </w:rPr>
      </w:pPr>
    </w:p>
    <w:p w14:paraId="5FE466BB">
      <w:pPr>
        <w:spacing w:line="560" w:lineRule="exact"/>
        <w:jc w:val="both"/>
        <w:rPr>
          <w:rFonts w:hint="eastAsia" w:eastAsia="仿宋_GB2312"/>
          <w:color w:val="FF0000"/>
          <w:sz w:val="28"/>
          <w:szCs w:val="28"/>
        </w:rPr>
      </w:pPr>
    </w:p>
    <w:p w14:paraId="1EB67BB7">
      <w:pPr>
        <w:spacing w:line="560" w:lineRule="exact"/>
        <w:jc w:val="both"/>
        <w:rPr>
          <w:rFonts w:hint="eastAsia" w:eastAsia="仿宋_GB2312"/>
          <w:color w:val="FF0000"/>
          <w:sz w:val="28"/>
          <w:szCs w:val="28"/>
        </w:rPr>
      </w:pPr>
    </w:p>
    <w:p w14:paraId="42ECE834">
      <w:pPr>
        <w:spacing w:line="560" w:lineRule="exact"/>
        <w:jc w:val="both"/>
        <w:rPr>
          <w:rFonts w:hint="eastAsia" w:eastAsia="仿宋_GB2312"/>
          <w:color w:val="FF0000"/>
          <w:sz w:val="28"/>
          <w:szCs w:val="28"/>
        </w:rPr>
      </w:pPr>
    </w:p>
    <w:p w14:paraId="30254156">
      <w:pPr>
        <w:spacing w:line="560" w:lineRule="exact"/>
        <w:jc w:val="both"/>
        <w:rPr>
          <w:rFonts w:hint="eastAsia" w:eastAsia="仿宋_GB2312"/>
          <w:color w:val="FF0000"/>
          <w:sz w:val="28"/>
          <w:szCs w:val="28"/>
        </w:rPr>
      </w:pPr>
    </w:p>
    <w:p w14:paraId="523C3298">
      <w:pPr>
        <w:spacing w:line="560" w:lineRule="exact"/>
        <w:jc w:val="both"/>
        <w:rPr>
          <w:rFonts w:hint="eastAsia" w:eastAsia="仿宋_GB2312"/>
          <w:color w:val="FF0000"/>
          <w:sz w:val="28"/>
          <w:szCs w:val="28"/>
        </w:rPr>
      </w:pPr>
    </w:p>
    <w:p w14:paraId="6BFD052D">
      <w:pPr>
        <w:spacing w:line="560" w:lineRule="exact"/>
        <w:jc w:val="both"/>
        <w:rPr>
          <w:rFonts w:hint="eastAsia" w:eastAsia="仿宋_GB2312"/>
          <w:color w:val="FF0000"/>
          <w:sz w:val="28"/>
          <w:szCs w:val="28"/>
        </w:rPr>
      </w:pPr>
    </w:p>
    <w:p w14:paraId="54C07207">
      <w:pPr>
        <w:spacing w:line="560" w:lineRule="exact"/>
        <w:jc w:val="both"/>
        <w:rPr>
          <w:rFonts w:hint="eastAsia" w:eastAsia="仿宋_GB2312"/>
          <w:color w:val="FF0000"/>
          <w:sz w:val="28"/>
          <w:szCs w:val="28"/>
        </w:rPr>
      </w:pPr>
    </w:p>
    <w:p w14:paraId="12EBE00B">
      <w:pPr>
        <w:spacing w:line="560" w:lineRule="exact"/>
        <w:jc w:val="both"/>
        <w:rPr>
          <w:rFonts w:hint="eastAsia" w:eastAsia="仿宋_GB2312"/>
          <w:color w:val="FF0000"/>
          <w:sz w:val="28"/>
          <w:szCs w:val="28"/>
        </w:rPr>
      </w:pPr>
    </w:p>
    <w:p w14:paraId="525A66D3">
      <w:pPr>
        <w:spacing w:line="560" w:lineRule="exact"/>
        <w:jc w:val="both"/>
        <w:rPr>
          <w:rFonts w:hint="eastAsia" w:eastAsia="仿宋_GB2312"/>
          <w:color w:val="FF0000"/>
          <w:sz w:val="28"/>
          <w:szCs w:val="28"/>
        </w:rPr>
      </w:pPr>
    </w:p>
    <w:p w14:paraId="2BC49031">
      <w:pPr>
        <w:spacing w:line="560" w:lineRule="exact"/>
        <w:jc w:val="both"/>
        <w:rPr>
          <w:rFonts w:hint="eastAsia" w:eastAsia="仿宋_GB2312"/>
          <w:color w:val="FF0000"/>
          <w:sz w:val="28"/>
          <w:szCs w:val="28"/>
        </w:rPr>
      </w:pPr>
    </w:p>
    <w:p w14:paraId="61FD8DC6">
      <w:pPr>
        <w:spacing w:line="560" w:lineRule="exact"/>
        <w:jc w:val="both"/>
        <w:rPr>
          <w:rFonts w:hint="eastAsia" w:eastAsia="仿宋_GB2312"/>
          <w:color w:val="FF0000"/>
          <w:sz w:val="28"/>
          <w:szCs w:val="28"/>
        </w:rPr>
      </w:pPr>
    </w:p>
    <w:p w14:paraId="35E94095">
      <w:pPr>
        <w:spacing w:line="560" w:lineRule="exact"/>
        <w:jc w:val="both"/>
        <w:rPr>
          <w:rFonts w:hint="eastAsia" w:eastAsia="仿宋_GB2312"/>
          <w:color w:val="FF0000"/>
          <w:sz w:val="28"/>
          <w:szCs w:val="28"/>
        </w:rPr>
      </w:pPr>
    </w:p>
    <w:p w14:paraId="64211E36">
      <w:pPr>
        <w:spacing w:line="560" w:lineRule="exact"/>
        <w:jc w:val="both"/>
        <w:rPr>
          <w:rFonts w:hint="eastAsia" w:eastAsia="仿宋_GB2312"/>
          <w:color w:val="FF0000"/>
          <w:sz w:val="28"/>
          <w:szCs w:val="28"/>
        </w:rPr>
      </w:pPr>
    </w:p>
    <w:p w14:paraId="77D28471">
      <w:pPr>
        <w:spacing w:line="560" w:lineRule="exact"/>
        <w:jc w:val="both"/>
        <w:rPr>
          <w:rFonts w:hint="eastAsia" w:eastAsia="仿宋_GB2312"/>
          <w:color w:val="FF0000"/>
          <w:sz w:val="28"/>
          <w:szCs w:val="28"/>
        </w:rPr>
      </w:pPr>
    </w:p>
    <w:p w14:paraId="6CAD71FC">
      <w:pPr>
        <w:spacing w:line="560" w:lineRule="exact"/>
        <w:jc w:val="both"/>
        <w:rPr>
          <w:rFonts w:hint="eastAsia" w:eastAsia="仿宋_GB2312"/>
          <w:color w:val="FF0000"/>
          <w:sz w:val="28"/>
          <w:szCs w:val="28"/>
        </w:rPr>
      </w:pPr>
    </w:p>
    <w:p w14:paraId="083B233E">
      <w:pPr>
        <w:spacing w:line="560" w:lineRule="exact"/>
        <w:jc w:val="both"/>
        <w:rPr>
          <w:rFonts w:hint="eastAsia" w:eastAsia="仿宋_GB2312"/>
          <w:color w:val="FF0000"/>
          <w:sz w:val="28"/>
          <w:szCs w:val="28"/>
        </w:rPr>
      </w:pPr>
    </w:p>
    <w:p w14:paraId="1A3E0920">
      <w:pPr>
        <w:spacing w:line="560" w:lineRule="exact"/>
        <w:jc w:val="both"/>
        <w:rPr>
          <w:rFonts w:hint="eastAsia" w:eastAsia="仿宋_GB2312"/>
          <w:color w:val="FF0000"/>
          <w:sz w:val="28"/>
          <w:szCs w:val="28"/>
        </w:rPr>
      </w:pPr>
    </w:p>
    <w:p w14:paraId="65854124">
      <w:pPr>
        <w:spacing w:line="560" w:lineRule="exact"/>
        <w:jc w:val="both"/>
        <w:rPr>
          <w:rFonts w:hint="eastAsia" w:eastAsia="仿宋_GB2312"/>
          <w:color w:val="FF0000"/>
          <w:sz w:val="28"/>
          <w:szCs w:val="28"/>
        </w:rPr>
      </w:pPr>
    </w:p>
    <w:p w14:paraId="2F466DF6">
      <w:pPr>
        <w:spacing w:line="560" w:lineRule="exact"/>
        <w:jc w:val="both"/>
        <w:rPr>
          <w:rFonts w:hint="eastAsia" w:eastAsia="仿宋_GB2312"/>
          <w:color w:val="FF0000"/>
          <w:sz w:val="28"/>
          <w:szCs w:val="28"/>
        </w:rPr>
      </w:pPr>
    </w:p>
    <w:p w14:paraId="311A589C">
      <w:pPr>
        <w:spacing w:line="560" w:lineRule="exact"/>
        <w:jc w:val="both"/>
        <w:rPr>
          <w:rFonts w:hint="eastAsia" w:eastAsia="仿宋_GB2312"/>
          <w:color w:val="FF0000"/>
          <w:sz w:val="28"/>
          <w:szCs w:val="28"/>
        </w:rPr>
      </w:pPr>
    </w:p>
    <w:p w14:paraId="66B814A5">
      <w:pPr>
        <w:spacing w:line="560" w:lineRule="exact"/>
        <w:jc w:val="both"/>
        <w:rPr>
          <w:rFonts w:hint="eastAsia" w:eastAsia="仿宋_GB2312"/>
          <w:color w:val="FF0000"/>
          <w:sz w:val="28"/>
          <w:szCs w:val="28"/>
        </w:rPr>
      </w:pPr>
    </w:p>
    <w:p w14:paraId="55162B41">
      <w:pPr>
        <w:spacing w:line="560" w:lineRule="exact"/>
        <w:jc w:val="both"/>
        <w:rPr>
          <w:rFonts w:hint="eastAsia" w:eastAsia="仿宋_GB2312"/>
          <w:color w:val="FF0000"/>
          <w:sz w:val="28"/>
          <w:szCs w:val="28"/>
        </w:rPr>
      </w:pPr>
    </w:p>
    <w:p w14:paraId="4FD77DD5">
      <w:pPr>
        <w:spacing w:line="560" w:lineRule="exact"/>
        <w:jc w:val="both"/>
        <w:rPr>
          <w:rFonts w:hint="eastAsia" w:eastAsia="仿宋_GB2312"/>
          <w:color w:val="FF0000"/>
          <w:sz w:val="28"/>
          <w:szCs w:val="28"/>
        </w:rPr>
      </w:pPr>
    </w:p>
    <w:p w14:paraId="65BC5DD4">
      <w:pPr>
        <w:spacing w:line="560" w:lineRule="exact"/>
        <w:jc w:val="both"/>
        <w:rPr>
          <w:rFonts w:hint="eastAsia" w:eastAsia="仿宋_GB2312"/>
          <w:color w:val="FF0000"/>
          <w:sz w:val="28"/>
          <w:szCs w:val="28"/>
        </w:rPr>
      </w:pPr>
    </w:p>
    <w:p w14:paraId="3012A870">
      <w:pPr>
        <w:spacing w:line="560" w:lineRule="exact"/>
        <w:jc w:val="both"/>
        <w:rPr>
          <w:rFonts w:hint="eastAsia" w:eastAsia="仿宋_GB2312"/>
          <w:color w:val="FF0000"/>
          <w:sz w:val="28"/>
          <w:szCs w:val="28"/>
        </w:rPr>
      </w:pPr>
    </w:p>
    <w:p w14:paraId="3C1F4C5A">
      <w:pPr>
        <w:spacing w:line="560" w:lineRule="exact"/>
        <w:jc w:val="both"/>
        <w:rPr>
          <w:rFonts w:hint="eastAsia" w:eastAsia="仿宋_GB2312"/>
          <w:color w:val="FF0000"/>
          <w:sz w:val="28"/>
          <w:szCs w:val="28"/>
        </w:rPr>
      </w:pPr>
    </w:p>
    <w:p w14:paraId="70222906">
      <w:pPr>
        <w:spacing w:line="560" w:lineRule="exact"/>
        <w:jc w:val="both"/>
        <w:rPr>
          <w:rFonts w:hint="eastAsia" w:eastAsia="仿宋_GB2312"/>
          <w:color w:val="FF0000"/>
          <w:sz w:val="28"/>
          <w:szCs w:val="28"/>
        </w:rPr>
      </w:pPr>
    </w:p>
    <w:p w14:paraId="246657AC">
      <w:pPr>
        <w:spacing w:line="560" w:lineRule="exact"/>
        <w:jc w:val="both"/>
        <w:rPr>
          <w:rFonts w:hint="eastAsia" w:eastAsia="仿宋_GB2312"/>
          <w:color w:val="FF0000"/>
          <w:sz w:val="28"/>
          <w:szCs w:val="28"/>
        </w:rPr>
      </w:pPr>
    </w:p>
    <w:p w14:paraId="4020B3B4">
      <w:pPr>
        <w:spacing w:line="560" w:lineRule="exact"/>
        <w:jc w:val="both"/>
        <w:rPr>
          <w:rFonts w:hint="eastAsia" w:eastAsia="仿宋_GB2312"/>
          <w:color w:val="FF0000"/>
          <w:sz w:val="28"/>
          <w:szCs w:val="28"/>
        </w:rPr>
      </w:pPr>
    </w:p>
    <w:p w14:paraId="490333E4">
      <w:pPr>
        <w:keepNext w:val="0"/>
        <w:keepLines w:val="0"/>
        <w:pageBreakBefore w:val="0"/>
        <w:widowControl w:val="0"/>
        <w:spacing w:line="700" w:lineRule="exact"/>
        <w:rPr>
          <w:rFonts w:hint="eastAsia"/>
          <w:lang w:val="en-US" w:eastAsia="zh-CN"/>
        </w:rPr>
      </w:pPr>
    </w:p>
    <w:p w14:paraId="07FD137E">
      <w:pPr>
        <w:pStyle w:val="15"/>
        <w:keepNext w:val="0"/>
        <w:keepLines w:val="0"/>
        <w:pageBreakBefore w:val="0"/>
        <w:widowControl w:val="0"/>
        <w:spacing w:before="0" w:beforeAutospacing="0" w:after="0" w:afterAutospacing="0" w:line="600" w:lineRule="exact"/>
        <w:ind w:firstLine="280"/>
        <w:rPr>
          <w:rFonts w:hint="default" w:ascii="Times New Roman" w:hAnsi="Times New Roman" w:eastAsia="仿宋_GB2312" w:cs="Times New Roman"/>
          <w:spacing w:val="0"/>
          <w:sz w:val="28"/>
          <w:szCs w:val="28"/>
          <w:lang w:val="en-US" w:eastAsia="zh-CN"/>
        </w:rPr>
      </w:pPr>
      <w:r>
        <w:rPr>
          <w:rFonts w:hint="eastAsia" w:ascii="Times New Roman" w:hAnsi="Times New Roman"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-48260</wp:posOffset>
                </wp:positionH>
                <wp:positionV relativeFrom="paragraph">
                  <wp:posOffset>0</wp:posOffset>
                </wp:positionV>
                <wp:extent cx="5689600" cy="0"/>
                <wp:effectExtent l="0" t="4445" r="0" b="5080"/>
                <wp:wrapNone/>
                <wp:docPr id="4" name="直接连接符 8"/>
                <wp:cNvGraphicFramePr/>
                <a:graphic xmlns:a="http://schemas.openxmlformats.org/drawingml/2006/main">
                  <a:graphicData uri="http://schemas.microsoft.com/office/word/2010/wordprocessingShape">
                    <wps:wsp>
                      <wps:cNvCnPr/>
                      <wps:spPr bwMode="auto">
                        <a:xfrm>
                          <a:off x="0" y="0"/>
                          <a:ext cx="5689600" cy="0"/>
                        </a:xfrm>
                        <a:prstGeom prst="line">
                          <a:avLst/>
                        </a:prstGeom>
                        <a:ln w="9525" cap="flat" cmpd="sng">
                          <a:solidFill>
                            <a:srgbClr val="000000"/>
                          </a:solidFill>
                          <a:prstDash val="solid"/>
                          <a:headEnd type="none" w="med" len="med"/>
                          <a:tailEnd type="none" w="med" len="med"/>
                        </a:ln>
                        <a:effectLst/>
                      </wps:spPr>
                      <wps:bodyPr rot="0">
                        <a:noAutofit/>
                      </wps:bodyPr>
                    </wps:wsp>
                  </a:graphicData>
                </a:graphic>
              </wp:anchor>
            </w:drawing>
          </mc:Choice>
          <mc:Fallback>
            <w:pict>
              <v:line id="直接连接符 8" o:spid="_x0000_s1026" o:spt="20" style="position:absolute;left:0pt;margin-left:-3.8pt;margin-top:0pt;height:0pt;width:448pt;z-index:251662336;mso-width-relative:page;mso-height-relative:page;" filled="f" stroked="t" coordsize="21600,21600" o:gfxdata="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trILNMAAAAEAQAADwAAAAAAAAABACAAAAAiAAAA&#10;ZHJzL2Rvd25yZXYueG1sUEsBAhQAFAAAAAgAh07iQA21UXYMAgAAFgQAAA4AAAAAAAAAAQAgAAAA&#10;IgEAAGRycy9lMm9Eb2MueG1sUEsFBgAAAAAGAAYAWQEAAKA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lang w:val="en-US" w:eastAsia="zh-CN"/>
        </w:rPr>
        <w:t>抄</w:t>
      </w:r>
      <w:r>
        <w:rPr>
          <w:rFonts w:hint="default" w:ascii="Times New Roman" w:hAnsi="Times New Roman" w:eastAsia="仿宋_GB2312" w:cs="Times New Roman"/>
          <w:spacing w:val="0"/>
          <w:sz w:val="28"/>
          <w:szCs w:val="28"/>
          <w:lang w:val="en-US" w:eastAsia="zh-CN"/>
        </w:rPr>
        <w:t>送：驻局纪检监察组。</w:t>
      </w:r>
    </w:p>
    <w:p w14:paraId="0479D52D">
      <w:pPr>
        <w:pStyle w:val="15"/>
        <w:spacing w:line="600" w:lineRule="exact"/>
        <w:ind w:firstLine="280"/>
        <w:rPr>
          <w:rFonts w:hint="eastAsia" w:eastAsia="仿宋_GB2312"/>
          <w:color w:val="FF0000"/>
          <w:sz w:val="28"/>
          <w:szCs w:val="28"/>
        </w:rPr>
      </w:pPr>
      <w:r>
        <w:rPr>
          <w:rFonts w:hint="default" w:ascii="Times New Roman" w:hAnsi="Times New Roman" w:eastAsia="仿宋_GB2312" w:cs="Times New Roman"/>
          <w:spacing w:val="0"/>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461010</wp:posOffset>
                </wp:positionV>
                <wp:extent cx="5715000" cy="0"/>
                <wp:effectExtent l="0" t="5080" r="0" b="4445"/>
                <wp:wrapNone/>
                <wp:docPr id="5" name="直接连接符 6"/>
                <wp:cNvGraphicFramePr/>
                <a:graphic xmlns:a="http://schemas.openxmlformats.org/drawingml/2006/main">
                  <a:graphicData uri="http://schemas.microsoft.com/office/word/2010/wordprocessingShape">
                    <wps:wsp>
                      <wps:cNvCnPr/>
                      <wps:spPr bwMode="auto">
                        <a:xfrm>
                          <a:off x="0" y="0"/>
                          <a:ext cx="5715000" cy="0"/>
                        </a:xfrm>
                        <a:prstGeom prst="line">
                          <a:avLst/>
                        </a:prstGeom>
                        <a:ln w="9525" cap="flat" cmpd="sng">
                          <a:solidFill>
                            <a:srgbClr val="000000"/>
                          </a:solidFill>
                          <a:prstDash val="solid"/>
                          <a:headEnd type="none" w="med" len="med"/>
                          <a:tailEnd type="none" w="med" len="med"/>
                        </a:ln>
                        <a:effectLst/>
                      </wps:spPr>
                      <wps:bodyPr rot="0">
                        <a:noAutofit/>
                      </wps:bodyPr>
                    </wps:wsp>
                  </a:graphicData>
                </a:graphic>
              </wp:anchor>
            </w:drawing>
          </mc:Choice>
          <mc:Fallback>
            <w:pict>
              <v:line id="直接连接符 6" o:spid="_x0000_s1026" o:spt="20" style="position:absolute;left:0pt;margin-left:-5.9pt;margin-top:36.3pt;height:0pt;width:450pt;z-index:251660288;mso-width-relative:page;mso-height-relative:page;" filled="f" stroked="t" coordsize="21600,21600" o:gfxdata="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JCqtcAAAAJAQAADwAAAAAAAAABACAAAAAi&#10;AAAAZHJzL2Rvd25yZXYueG1sUEsBAhQAFAAAAAgAh07iQGaLmVwLAgAAFgQAAA4AAAAAAAAAAQAg&#10;AAAAJgEAAGRycy9lMm9Eb2MueG1sUEsFBgAAAAAGAAYAWQEAAKMFA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0"/>
          <w:sz w:val="28"/>
          <w:szCs w:val="28"/>
          <w:lang w:val="en-US" w:eastAsia="zh-CN"/>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22860</wp:posOffset>
                </wp:positionV>
                <wp:extent cx="5715000" cy="0"/>
                <wp:effectExtent l="0" t="5080" r="0" b="4445"/>
                <wp:wrapNone/>
                <wp:docPr id="6" name="直接连接符 5"/>
                <wp:cNvGraphicFramePr/>
                <a:graphic xmlns:a="http://schemas.openxmlformats.org/drawingml/2006/main">
                  <a:graphicData uri="http://schemas.microsoft.com/office/word/2010/wordprocessingShape">
                    <wps:wsp>
                      <wps:cNvCnPr/>
                      <wps:spPr bwMode="auto">
                        <a:xfrm>
                          <a:off x="0" y="0"/>
                          <a:ext cx="5715000" cy="0"/>
                        </a:xfrm>
                        <a:prstGeom prst="line">
                          <a:avLst/>
                        </a:prstGeom>
                        <a:ln w="3175" cap="flat" cmpd="sng">
                          <a:solidFill>
                            <a:srgbClr val="000000"/>
                          </a:solidFill>
                          <a:prstDash val="solid"/>
                          <a:headEnd type="none" w="med" len="med"/>
                          <a:tailEnd type="none" w="med" len="med"/>
                        </a:ln>
                        <a:effectLst/>
                      </wps:spPr>
                      <wps:bodyPr rot="0">
                        <a:noAutofit/>
                      </wps:bodyPr>
                    </wps:wsp>
                  </a:graphicData>
                </a:graphic>
              </wp:anchor>
            </w:drawing>
          </mc:Choice>
          <mc:Fallback>
            <w:pict>
              <v:line id="直接连接符 5" o:spid="_x0000_s1026" o:spt="20" style="position:absolute;left:0pt;margin-left:-5.4pt;margin-top:1.8pt;height:0pt;width:450pt;z-index:251661312;mso-width-relative:page;mso-height-relative:page;" filled="f" stroked="t" coordsize="21600,21600" o:gfxdata="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QunkdYAAAAHAQAADwAAAAAAAAABACAAAAAi&#10;AAAAZHJzL2Rvd25yZXYueG1sUEsBAhQAFAAAAAgAh07iQOABOM4MAgAAFgQAAA4AAAAAAAAAAQAg&#10;AAAAJQEAAGRycy9lMm9Eb2MueG1sUEsFBgAAAAAGAAYAWQEAAKMFAAAAAA==&#10;">
                <v:fill on="f" focussize="0,0"/>
                <v:stroke weight="0.25pt" color="#000000" joinstyle="round"/>
                <v:imagedata o:title=""/>
                <o:lock v:ext="edit" aspectratio="f"/>
              </v:line>
            </w:pict>
          </mc:Fallback>
        </mc:AlternateContent>
      </w:r>
      <w:r>
        <w:rPr>
          <w:rFonts w:hint="default" w:ascii="Times New Roman" w:hAnsi="Times New Roman" w:eastAsia="仿宋_GB2312" w:cs="Times New Roman"/>
          <w:spacing w:val="0"/>
          <w:sz w:val="28"/>
          <w:szCs w:val="28"/>
          <w:lang w:val="en-US" w:eastAsia="zh-CN"/>
        </w:rPr>
        <w:t>山西省</w:t>
      </w:r>
      <w:r>
        <w:rPr>
          <w:rFonts w:hint="eastAsia" w:ascii="Times New Roman" w:hAnsi="Times New Roman" w:eastAsia="仿宋_GB2312" w:cs="Times New Roman"/>
          <w:spacing w:val="0"/>
          <w:sz w:val="28"/>
          <w:szCs w:val="28"/>
          <w:lang w:val="en-US" w:eastAsia="zh-CN"/>
        </w:rPr>
        <w:t>市场监督管理</w:t>
      </w:r>
      <w:r>
        <w:rPr>
          <w:rFonts w:hint="default" w:ascii="Times New Roman" w:hAnsi="Times New Roman" w:eastAsia="仿宋_GB2312" w:cs="Times New Roman"/>
          <w:spacing w:val="0"/>
          <w:sz w:val="28"/>
          <w:szCs w:val="28"/>
          <w:lang w:val="en-US" w:eastAsia="zh-CN"/>
        </w:rPr>
        <w:t xml:space="preserve">局办公室    </w:t>
      </w:r>
      <w:r>
        <w:rPr>
          <w:rFonts w:hint="eastAsia" w:ascii="Times New Roman" w:hAnsi="Times New Roman" w:eastAsia="仿宋_GB2312" w:cs="Times New Roman"/>
          <w:spacing w:val="0"/>
          <w:sz w:val="28"/>
          <w:szCs w:val="28"/>
          <w:lang w:val="en-US" w:eastAsia="zh-CN"/>
        </w:rPr>
        <w:t xml:space="preserve">    </w:t>
      </w:r>
      <w:r>
        <w:rPr>
          <w:rFonts w:hint="default" w:ascii="Times New Roman" w:hAnsi="Times New Roman" w:eastAsia="仿宋_GB2312" w:cs="Times New Roman"/>
          <w:spacing w:val="0"/>
          <w:sz w:val="28"/>
          <w:szCs w:val="28"/>
          <w:lang w:val="en-US" w:eastAsia="zh-CN"/>
        </w:rPr>
        <w:t xml:space="preserve"> </w:t>
      </w:r>
      <w:r>
        <w:rPr>
          <w:rFonts w:hint="eastAsia" w:ascii="Times New Roman" w:hAnsi="Times New Roman" w:eastAsia="仿宋_GB2312" w:cs="Times New Roman"/>
          <w:spacing w:val="0"/>
          <w:sz w:val="28"/>
          <w:szCs w:val="28"/>
          <w:lang w:val="en-US" w:eastAsia="zh-CN"/>
        </w:rPr>
        <w:t xml:space="preserve">  </w:t>
      </w:r>
      <w:r>
        <w:rPr>
          <w:rFonts w:hint="default" w:ascii="Times New Roman" w:hAnsi="Times New Roman" w:eastAsia="仿宋_GB2312" w:cs="Times New Roman"/>
          <w:spacing w:val="0"/>
          <w:sz w:val="28"/>
          <w:szCs w:val="28"/>
          <w:lang w:val="en-US" w:eastAsia="zh-CN"/>
        </w:rPr>
        <w:t xml:space="preserve"> </w:t>
      </w:r>
      <w:r>
        <w:rPr>
          <w:rFonts w:hint="eastAsia" w:ascii="Times New Roman" w:hAnsi="Times New Roman" w:eastAsia="仿宋_GB2312" w:cs="Times New Roman"/>
          <w:spacing w:val="0"/>
          <w:sz w:val="28"/>
          <w:szCs w:val="28"/>
          <w:lang w:val="en-US" w:eastAsia="zh-CN"/>
        </w:rPr>
        <w:t xml:space="preserve"> </w:t>
      </w:r>
      <w:r>
        <w:rPr>
          <w:rFonts w:hint="default" w:ascii="Times New Roman" w:hAnsi="Times New Roman" w:eastAsia="仿宋_GB2312" w:cs="Times New Roman"/>
          <w:spacing w:val="0"/>
          <w:sz w:val="28"/>
          <w:szCs w:val="28"/>
          <w:lang w:val="en-US" w:eastAsia="zh-CN"/>
        </w:rPr>
        <w:t xml:space="preserve"> 202</w:t>
      </w:r>
      <w:r>
        <w:rPr>
          <w:rFonts w:hint="eastAsia" w:ascii="Times New Roman" w:hAnsi="Times New Roman" w:eastAsia="仿宋_GB2312" w:cs="Times New Roman"/>
          <w:spacing w:val="0"/>
          <w:sz w:val="28"/>
          <w:szCs w:val="28"/>
          <w:lang w:val="en-US" w:eastAsia="zh-CN"/>
        </w:rPr>
        <w:t>3</w:t>
      </w:r>
      <w:r>
        <w:rPr>
          <w:rFonts w:hint="default" w:ascii="Times New Roman" w:hAnsi="Times New Roman" w:eastAsia="仿宋_GB2312" w:cs="Times New Roman"/>
          <w:spacing w:val="0"/>
          <w:sz w:val="28"/>
          <w:szCs w:val="28"/>
          <w:lang w:val="en-US" w:eastAsia="zh-CN"/>
        </w:rPr>
        <w:t>年</w:t>
      </w:r>
      <w:r>
        <w:rPr>
          <w:rFonts w:hint="eastAsia" w:ascii="Times New Roman" w:hAnsi="Times New Roman" w:eastAsia="仿宋_GB2312" w:cs="Times New Roman"/>
          <w:spacing w:val="0"/>
          <w:sz w:val="28"/>
          <w:szCs w:val="28"/>
          <w:lang w:val="en-US" w:eastAsia="zh-CN"/>
        </w:rPr>
        <w:t>5</w:t>
      </w:r>
      <w:r>
        <w:rPr>
          <w:rFonts w:hint="default" w:ascii="Times New Roman" w:hAnsi="Times New Roman" w:eastAsia="仿宋_GB2312" w:cs="Times New Roman"/>
          <w:spacing w:val="0"/>
          <w:sz w:val="28"/>
          <w:szCs w:val="28"/>
          <w:lang w:val="en-US" w:eastAsia="zh-CN"/>
        </w:rPr>
        <w:t>月</w:t>
      </w:r>
      <w:r>
        <w:rPr>
          <w:rFonts w:hint="eastAsia" w:ascii="Times New Roman" w:hAnsi="Times New Roman" w:eastAsia="仿宋_GB2312" w:cs="Times New Roman"/>
          <w:spacing w:val="0"/>
          <w:sz w:val="28"/>
          <w:szCs w:val="28"/>
          <w:lang w:val="en-US" w:eastAsia="zh-CN"/>
        </w:rPr>
        <w:t>16</w:t>
      </w:r>
      <w:r>
        <w:rPr>
          <w:rFonts w:hint="default" w:ascii="Times New Roman" w:hAnsi="Times New Roman" w:eastAsia="仿宋_GB2312" w:cs="Times New Roman"/>
          <w:spacing w:val="0"/>
          <w:sz w:val="28"/>
          <w:szCs w:val="28"/>
          <w:lang w:val="en-US" w:eastAsia="zh-CN"/>
        </w:rPr>
        <w:t>日印发</w:t>
      </w:r>
    </w:p>
    <w:sectPr>
      <w:footerReference r:id="rId4" w:type="default"/>
      <w:pgSz w:w="11906" w:h="16838" w:orient="landscape"/>
      <w:pgMar w:top="2098" w:right="1531" w:bottom="1984" w:left="1531" w:header="851" w:footer="141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60101010101"/>
    <w:charset w:val="00"/>
    <w:family w:val="auto"/>
    <w:pitch w:val="default"/>
    <w:sig w:usb0="00000000" w:usb1="00000000" w:usb2="00000000" w:usb3="00000000" w:csb0="00000000" w:csb1="00000000"/>
  </w:font>
  <w:font w:name="方正小标宋简体">
    <w:altName w:val="黑体"/>
    <w:panose1 w:val="020B0604020202020204"/>
    <w:charset w:val="00"/>
    <w:family w:val="auto"/>
    <w:pitch w:val="default"/>
    <w:sig w:usb0="00000000" w:usb1="00000000" w:usb2="00000000" w:usb3="00000000" w:csb0="00000000" w:csb1="00000000"/>
  </w:font>
  <w:font w:name="方正姚体_GBK">
    <w:altName w:val="Vijaya"/>
    <w:panose1 w:val="020B0604020202020204"/>
    <w:charset w:val="00"/>
    <w:family w:val="auto"/>
    <w:pitch w:val="default"/>
    <w:sig w:usb0="00000000" w:usb1="00000000" w:usb2="00000000" w:usb3="00000000" w:csb0="00000000" w:csb1="00000000"/>
  </w:font>
  <w:font w:name="CESI黑体-GB2312">
    <w:altName w:val="黑体"/>
    <w:panose1 w:val="020B0604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89E2A">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AA2295C">
                          <w:pPr>
                            <w:pStyle w:val="2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imN/XRAQAApwMAAA4AAAAAAAAAAQAgAAAAHgEAAGRy&#10;cy9lMm9Eb2MueG1sUEsFBgAAAAAGAAYAWQEAAGEFAAAAAA==&#10;">
              <v:fill on="f" focussize="0,0"/>
              <v:stroke on="f"/>
              <v:imagedata o:title=""/>
              <o:lock v:ext="edit" aspectratio="f"/>
              <v:textbox inset="0mm,0mm,0mm,0mm" style="mso-fit-shape-to-text:t;">
                <w:txbxContent>
                  <w:p w14:paraId="6AA2295C">
                    <w:pPr>
                      <w:pStyle w:val="2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85432">
    <w:pPr>
      <w:pStyle w:val="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85BED"/>
    <w:rsid w:val="38845E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nhideWhenUsed="0" w:uiPriority="0"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40"/>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4"/>
    <w:unhideWhenUsed/>
    <w:qFormat/>
    <w:uiPriority w:val="9"/>
    <w:pPr>
      <w:keepNext/>
      <w:keepLines/>
      <w:spacing w:before="320" w:after="200"/>
      <w:outlineLvl w:val="8"/>
    </w:pPr>
    <w:rPr>
      <w:rFonts w:ascii="等线" w:hAnsi="等线" w:eastAsia="等线" w:cs="等线"/>
      <w:i/>
      <w:iCs/>
      <w:sz w:val="21"/>
      <w:szCs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2">
    <w:name w:val="toc 2"/>
    <w:basedOn w:val="1"/>
    <w:next w:val="1"/>
    <w:qFormat/>
    <w:uiPriority w:val="0"/>
    <w:pPr>
      <w:ind w:left="420"/>
    </w:pPr>
    <w:rPr>
      <w:rFonts w:ascii="Calibri" w:hAnsi="Calibri" w:eastAsia="宋体" w:cs="宋体"/>
      <w:sz w:val="21"/>
      <w:szCs w:val="22"/>
    </w:rPr>
  </w:style>
  <w:style w:type="paragraph" w:styleId="12">
    <w:name w:val="toc 7"/>
    <w:basedOn w:val="1"/>
    <w:next w:val="1"/>
    <w:unhideWhenUsed/>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qFormat/>
    <w:uiPriority w:val="0"/>
    <w:pPr>
      <w:jc w:val="left"/>
    </w:pPr>
    <w:rPr>
      <w:rFonts w:ascii="Calibri" w:hAnsi="Calibri" w:eastAsia="宋体"/>
    </w:rPr>
  </w:style>
  <w:style w:type="paragraph" w:styleId="15">
    <w:name w:val="Body Text"/>
    <w:basedOn w:val="1"/>
    <w:next w:val="1"/>
    <w:qFormat/>
    <w:uiPriority w:val="0"/>
    <w:pPr>
      <w:spacing w:before="0" w:after="140" w:line="276" w:lineRule="auto"/>
    </w:pPr>
    <w:rPr>
      <w:rFonts w:ascii="Calibri" w:hAnsi="Calibri" w:eastAsia="宋体"/>
      <w:szCs w:val="22"/>
    </w:rPr>
  </w:style>
  <w:style w:type="paragraph" w:styleId="16">
    <w:name w:val="toc 5"/>
    <w:basedOn w:val="1"/>
    <w:next w:val="1"/>
    <w:unhideWhenUsed/>
    <w:uiPriority w:val="39"/>
    <w:pPr>
      <w:spacing w:after="57"/>
      <w:ind w:left="1134" w:right="0" w:firstLine="0"/>
    </w:pPr>
  </w:style>
  <w:style w:type="paragraph" w:styleId="17">
    <w:name w:val="toc 3"/>
    <w:basedOn w:val="1"/>
    <w:next w:val="1"/>
    <w:unhideWhenUsed/>
    <w:uiPriority w:val="39"/>
    <w:pPr>
      <w:spacing w:after="57"/>
      <w:ind w:left="567" w:right="0" w:firstLine="0"/>
    </w:pPr>
  </w:style>
  <w:style w:type="paragraph" w:styleId="18">
    <w:name w:val="toc 8"/>
    <w:basedOn w:val="1"/>
    <w:next w:val="1"/>
    <w:unhideWhenUsed/>
    <w:uiPriority w:val="39"/>
    <w:pPr>
      <w:spacing w:after="57"/>
      <w:ind w:left="1984" w:right="0" w:firstLine="0"/>
    </w:pPr>
  </w:style>
  <w:style w:type="paragraph" w:styleId="19">
    <w:name w:val="endnote text"/>
    <w:basedOn w:val="1"/>
    <w:link w:val="182"/>
    <w:semiHidden/>
    <w:unhideWhenUsed/>
    <w:uiPriority w:val="99"/>
    <w:pPr>
      <w:spacing w:after="0" w:line="240" w:lineRule="auto"/>
    </w:pPr>
    <w:rPr>
      <w:sz w:val="20"/>
    </w:rPr>
  </w:style>
  <w:style w:type="paragraph" w:styleId="20">
    <w:name w:val="footer"/>
    <w:basedOn w:val="1"/>
    <w:qFormat/>
    <w:uiPriority w:val="0"/>
    <w:pPr>
      <w:tabs>
        <w:tab w:val="center" w:pos="4153"/>
        <w:tab w:val="right" w:pos="8306"/>
      </w:tabs>
      <w:jc w:val="left"/>
    </w:pPr>
    <w:rPr>
      <w:rFonts w:ascii="Calibri" w:hAnsi="Calibri" w:eastAsia="宋体"/>
      <w:sz w:val="18"/>
    </w:rPr>
  </w:style>
  <w:style w:type="paragraph" w:styleId="21">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rFonts w:eastAsia="宋体"/>
      <w:sz w:val="18"/>
    </w:rPr>
  </w:style>
  <w:style w:type="paragraph" w:styleId="22">
    <w:name w:val="toc 1"/>
    <w:basedOn w:val="1"/>
    <w:next w:val="1"/>
    <w:unhideWhenUsed/>
    <w:uiPriority w:val="39"/>
    <w:pPr>
      <w:spacing w:after="57"/>
      <w:ind w:left="0" w:right="0" w:firstLine="0"/>
    </w:pPr>
  </w:style>
  <w:style w:type="paragraph" w:styleId="23">
    <w:name w:val="toc 4"/>
    <w:basedOn w:val="1"/>
    <w:next w:val="1"/>
    <w:unhideWhenUsed/>
    <w:uiPriority w:val="39"/>
    <w:pPr>
      <w:spacing w:after="57"/>
      <w:ind w:left="850" w:right="0" w:firstLine="0"/>
    </w:pPr>
  </w:style>
  <w:style w:type="paragraph" w:styleId="24">
    <w:name w:val="Subtitle"/>
    <w:basedOn w:val="1"/>
    <w:next w:val="1"/>
    <w:link w:val="48"/>
    <w:qFormat/>
    <w:uiPriority w:val="11"/>
    <w:pPr>
      <w:spacing w:before="200" w:after="200"/>
    </w:pPr>
    <w:rPr>
      <w:sz w:val="24"/>
      <w:szCs w:val="24"/>
    </w:rPr>
  </w:style>
  <w:style w:type="paragraph" w:styleId="25">
    <w:name w:val="footnote text"/>
    <w:basedOn w:val="1"/>
    <w:link w:val="181"/>
    <w:semiHidden/>
    <w:unhideWhenUsed/>
    <w:uiPriority w:val="99"/>
    <w:pPr>
      <w:spacing w:after="40" w:line="240" w:lineRule="auto"/>
    </w:pPr>
    <w:rPr>
      <w:sz w:val="18"/>
    </w:rPr>
  </w:style>
  <w:style w:type="paragraph" w:styleId="26">
    <w:name w:val="toc 6"/>
    <w:basedOn w:val="1"/>
    <w:next w:val="1"/>
    <w:unhideWhenUsed/>
    <w:uiPriority w:val="39"/>
    <w:pPr>
      <w:spacing w:after="57"/>
      <w:ind w:left="1417" w:right="0" w:firstLine="0"/>
    </w:pPr>
  </w:style>
  <w:style w:type="paragraph" w:styleId="27">
    <w:name w:val="table of figures"/>
    <w:basedOn w:val="1"/>
    <w:next w:val="1"/>
    <w:unhideWhenUsed/>
    <w:uiPriority w:val="99"/>
    <w:pPr>
      <w:spacing w:after="0" w:afterAutospacing="0"/>
    </w:pPr>
  </w:style>
  <w:style w:type="paragraph" w:styleId="28">
    <w:name w:val="toc 9"/>
    <w:basedOn w:val="1"/>
    <w:next w:val="1"/>
    <w:unhideWhenUsed/>
    <w:uiPriority w:val="39"/>
    <w:pPr>
      <w:spacing w:after="57"/>
      <w:ind w:left="2268" w:right="0" w:firstLine="0"/>
    </w:pPr>
  </w:style>
  <w:style w:type="paragraph" w:styleId="29">
    <w:name w:val="Title"/>
    <w:basedOn w:val="1"/>
    <w:next w:val="1"/>
    <w:link w:val="47"/>
    <w:qFormat/>
    <w:uiPriority w:val="10"/>
    <w:pPr>
      <w:spacing w:before="300" w:after="200"/>
      <w:contextualSpacing/>
    </w:pPr>
    <w:rPr>
      <w:sz w:val="48"/>
      <w:szCs w:val="48"/>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3">
    <w:name w:val="endnote reference"/>
    <w:basedOn w:val="32"/>
    <w:semiHidden/>
    <w:unhideWhenUsed/>
    <w:uiPriority w:val="99"/>
    <w:rPr>
      <w:vertAlign w:val="superscript"/>
    </w:rPr>
  </w:style>
  <w:style w:type="character" w:styleId="34">
    <w:name w:val="Hyperlink"/>
    <w:unhideWhenUsed/>
    <w:uiPriority w:val="99"/>
    <w:rPr>
      <w:color w:val="0000FF" w:themeColor="hyperlink"/>
      <w:u w:val="single"/>
      <w14:textFill>
        <w14:solidFill>
          <w14:schemeClr w14:val="hlink"/>
        </w14:solidFill>
      </w14:textFill>
    </w:rPr>
  </w:style>
  <w:style w:type="character" w:styleId="35">
    <w:name w:val="footnote reference"/>
    <w:basedOn w:val="32"/>
    <w:unhideWhenUsed/>
    <w:uiPriority w:val="99"/>
    <w:rPr>
      <w:vertAlign w:val="superscript"/>
    </w:rPr>
  </w:style>
  <w:style w:type="character" w:customStyle="1" w:styleId="36">
    <w:name w:val="Heading 1 Char"/>
    <w:basedOn w:val="32"/>
    <w:link w:val="3"/>
    <w:uiPriority w:val="9"/>
    <w:rPr>
      <w:rFonts w:ascii="等线" w:hAnsi="等线" w:eastAsia="等线" w:cs="等线"/>
      <w:sz w:val="40"/>
      <w:szCs w:val="40"/>
    </w:rPr>
  </w:style>
  <w:style w:type="character" w:customStyle="1" w:styleId="37">
    <w:name w:val="Heading 2 Char"/>
    <w:basedOn w:val="32"/>
    <w:link w:val="4"/>
    <w:uiPriority w:val="9"/>
    <w:rPr>
      <w:rFonts w:ascii="等线" w:hAnsi="等线" w:eastAsia="等线" w:cs="等线"/>
      <w:sz w:val="34"/>
    </w:rPr>
  </w:style>
  <w:style w:type="character" w:customStyle="1" w:styleId="38">
    <w:name w:val="Heading 3 Char"/>
    <w:basedOn w:val="32"/>
    <w:link w:val="5"/>
    <w:uiPriority w:val="9"/>
    <w:rPr>
      <w:rFonts w:ascii="等线" w:hAnsi="等线" w:eastAsia="等线" w:cs="等线"/>
      <w:sz w:val="30"/>
      <w:szCs w:val="30"/>
    </w:rPr>
  </w:style>
  <w:style w:type="character" w:customStyle="1" w:styleId="39">
    <w:name w:val="Heading 4 Char"/>
    <w:basedOn w:val="32"/>
    <w:link w:val="6"/>
    <w:uiPriority w:val="9"/>
    <w:rPr>
      <w:rFonts w:ascii="等线" w:hAnsi="等线" w:eastAsia="等线" w:cs="等线"/>
      <w:b/>
      <w:bCs/>
      <w:sz w:val="26"/>
      <w:szCs w:val="26"/>
    </w:rPr>
  </w:style>
  <w:style w:type="character" w:customStyle="1" w:styleId="40">
    <w:name w:val="Heading 5 Char"/>
    <w:basedOn w:val="32"/>
    <w:link w:val="7"/>
    <w:uiPriority w:val="9"/>
    <w:rPr>
      <w:rFonts w:ascii="等线" w:hAnsi="等线" w:eastAsia="等线" w:cs="等线"/>
      <w:b/>
      <w:bCs/>
      <w:sz w:val="24"/>
      <w:szCs w:val="24"/>
    </w:rPr>
  </w:style>
  <w:style w:type="character" w:customStyle="1" w:styleId="41">
    <w:name w:val="Heading 6 Char"/>
    <w:basedOn w:val="32"/>
    <w:link w:val="8"/>
    <w:uiPriority w:val="9"/>
    <w:rPr>
      <w:rFonts w:ascii="等线" w:hAnsi="等线" w:eastAsia="等线" w:cs="等线"/>
      <w:b/>
      <w:bCs/>
      <w:sz w:val="22"/>
      <w:szCs w:val="22"/>
    </w:rPr>
  </w:style>
  <w:style w:type="character" w:customStyle="1" w:styleId="42">
    <w:name w:val="Heading 7 Char"/>
    <w:basedOn w:val="32"/>
    <w:link w:val="9"/>
    <w:uiPriority w:val="9"/>
    <w:rPr>
      <w:rFonts w:ascii="等线" w:hAnsi="等线" w:eastAsia="等线" w:cs="等线"/>
      <w:b/>
      <w:bCs/>
      <w:i/>
      <w:iCs/>
      <w:sz w:val="22"/>
      <w:szCs w:val="22"/>
    </w:rPr>
  </w:style>
  <w:style w:type="character" w:customStyle="1" w:styleId="43">
    <w:name w:val="Heading 8 Char"/>
    <w:basedOn w:val="32"/>
    <w:link w:val="10"/>
    <w:uiPriority w:val="9"/>
    <w:rPr>
      <w:rFonts w:ascii="等线" w:hAnsi="等线" w:eastAsia="等线" w:cs="等线"/>
      <w:i/>
      <w:iCs/>
      <w:sz w:val="22"/>
      <w:szCs w:val="22"/>
    </w:rPr>
  </w:style>
  <w:style w:type="character" w:customStyle="1" w:styleId="44">
    <w:name w:val="Heading 9 Char"/>
    <w:basedOn w:val="32"/>
    <w:link w:val="11"/>
    <w:uiPriority w:val="9"/>
    <w:rPr>
      <w:rFonts w:ascii="等线" w:hAnsi="等线" w:eastAsia="等线" w:cs="等线"/>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Calibri" w:hAnsi="Calibri" w:eastAsia="宋体" w:cs="Times New Roman"/>
    </w:rPr>
  </w:style>
  <w:style w:type="character" w:customStyle="1" w:styleId="47">
    <w:name w:val="Title Char"/>
    <w:basedOn w:val="32"/>
    <w:link w:val="29"/>
    <w:qFormat/>
    <w:uiPriority w:val="10"/>
    <w:rPr>
      <w:sz w:val="48"/>
      <w:szCs w:val="48"/>
    </w:rPr>
  </w:style>
  <w:style w:type="character" w:customStyle="1" w:styleId="48">
    <w:name w:val="Subtitle Char"/>
    <w:basedOn w:val="32"/>
    <w:link w:val="24"/>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2"/>
    <w:qFormat/>
    <w:uiPriority w:val="99"/>
  </w:style>
  <w:style w:type="character" w:customStyle="1" w:styleId="54">
    <w:name w:val="Footer Char"/>
    <w:basedOn w:val="32"/>
    <w:qFormat/>
    <w:uiPriority w:val="99"/>
  </w:style>
  <w:style w:type="character" w:customStyle="1" w:styleId="55">
    <w:name w:val="Caption Char"/>
    <w:qFormat/>
    <w:uiPriority w:val="99"/>
  </w:style>
  <w:style w:type="table" w:customStyle="1" w:styleId="56">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3"/>
    <w:basedOn w:val="30"/>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4"/>
    <w:basedOn w:val="30"/>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5"/>
    <w:basedOn w:val="30"/>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1"/>
    <w:basedOn w:val="30"/>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2"/>
    <w:basedOn w:val="3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3"/>
    <w:basedOn w:val="3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5"/>
    <w:basedOn w:val="3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6"/>
    <w:basedOn w:val="3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2"/>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3"/>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Accent 4"/>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5"/>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 Accent 6"/>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6 Colorful"/>
    <w:basedOn w:val="30"/>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1"/>
    <w:basedOn w:val="30"/>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2"/>
    <w:basedOn w:val="30"/>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3"/>
    <w:basedOn w:val="30"/>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4"/>
    <w:basedOn w:val="30"/>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5"/>
    <w:basedOn w:val="30"/>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6"/>
    <w:basedOn w:val="30"/>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w:basedOn w:val="30"/>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1"/>
    <w:basedOn w:val="30"/>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2"/>
    <w:basedOn w:val="30"/>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3"/>
    <w:basedOn w:val="30"/>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4"/>
    <w:basedOn w:val="30"/>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5"/>
    <w:basedOn w:val="30"/>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6"/>
    <w:basedOn w:val="30"/>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1">
    <w:name w:val="List Table 1 Light"/>
    <w:basedOn w:val="30"/>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1"/>
    <w:basedOn w:val="30"/>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2"/>
    <w:basedOn w:val="30"/>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3"/>
    <w:basedOn w:val="30"/>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4"/>
    <w:basedOn w:val="30"/>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5"/>
    <w:basedOn w:val="30"/>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6"/>
    <w:basedOn w:val="30"/>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w:basedOn w:val="30"/>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1"/>
    <w:basedOn w:val="30"/>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2"/>
    <w:basedOn w:val="30"/>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3"/>
    <w:basedOn w:val="30"/>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4"/>
    <w:basedOn w:val="3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5"/>
    <w:basedOn w:val="30"/>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6"/>
    <w:basedOn w:val="30"/>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w:basedOn w:val="30"/>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1"/>
    <w:basedOn w:val="30"/>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2"/>
    <w:basedOn w:val="30"/>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3"/>
    <w:basedOn w:val="30"/>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4"/>
    <w:basedOn w:val="30"/>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5"/>
    <w:basedOn w:val="30"/>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6"/>
    <w:basedOn w:val="30"/>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w:basedOn w:val="30"/>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1"/>
    <w:basedOn w:val="30"/>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2"/>
    <w:basedOn w:val="30"/>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3"/>
    <w:basedOn w:val="30"/>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4"/>
    <w:basedOn w:val="30"/>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5"/>
    <w:basedOn w:val="30"/>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6"/>
    <w:basedOn w:val="30"/>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5 Dark"/>
    <w:basedOn w:val="30"/>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0">
    <w:name w:val="List Table 5 Dark - Accent 1"/>
    <w:basedOn w:val="30"/>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41">
    <w:name w:val="List Table 5 Dark - Accent 2"/>
    <w:basedOn w:val="30"/>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2">
    <w:name w:val="List Table 5 Dark - Accent 3"/>
    <w:basedOn w:val="30"/>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3">
    <w:name w:val="List Table 5 Dark - Accent 4"/>
    <w:basedOn w:val="30"/>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5"/>
    <w:basedOn w:val="30"/>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5">
    <w:name w:val="List Table 5 Dark - Accent 6"/>
    <w:basedOn w:val="30"/>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6">
    <w:name w:val="List Table 6 Colorful"/>
    <w:basedOn w:val="30"/>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1"/>
    <w:basedOn w:val="30"/>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2"/>
    <w:basedOn w:val="30"/>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3"/>
    <w:basedOn w:val="30"/>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4"/>
    <w:basedOn w:val="30"/>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5"/>
    <w:basedOn w:val="30"/>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6"/>
    <w:basedOn w:val="30"/>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w:basedOn w:val="30"/>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1"/>
    <w:basedOn w:val="30"/>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2"/>
    <w:basedOn w:val="30"/>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3"/>
    <w:basedOn w:val="30"/>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4"/>
    <w:basedOn w:val="30"/>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5"/>
    <w:basedOn w:val="30"/>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6"/>
    <w:basedOn w:val="30"/>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ned - Accent"/>
    <w:basedOn w:val="30"/>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1">
    <w:name w:val="Lined - Accent 1"/>
    <w:basedOn w:val="30"/>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2">
    <w:name w:val="Lined - Accent 2"/>
    <w:basedOn w:val="30"/>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3">
    <w:name w:val="Lined - Accent 3"/>
    <w:basedOn w:val="30"/>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4"/>
    <w:basedOn w:val="30"/>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5"/>
    <w:basedOn w:val="30"/>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6">
    <w:name w:val="Lined - Accent 6"/>
    <w:basedOn w:val="30"/>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7">
    <w:name w:val="Bordered &amp; Lined - Accent"/>
    <w:basedOn w:val="30"/>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8">
    <w:name w:val="Bordered &amp; Lined - Accent 1"/>
    <w:basedOn w:val="30"/>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9">
    <w:name w:val="Bordered &amp; Lined - Accent 2"/>
    <w:basedOn w:val="30"/>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70">
    <w:name w:val="Bordered &amp; Lined - Accent 3"/>
    <w:basedOn w:val="30"/>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4"/>
    <w:basedOn w:val="30"/>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5"/>
    <w:basedOn w:val="30"/>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3">
    <w:name w:val="Bordered &amp; Lined - Accent 6"/>
    <w:basedOn w:val="30"/>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4">
    <w:name w:val="Bordered"/>
    <w:basedOn w:val="30"/>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1"/>
    <w:basedOn w:val="30"/>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2"/>
    <w:basedOn w:val="30"/>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3"/>
    <w:basedOn w:val="30"/>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4"/>
    <w:basedOn w:val="30"/>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5"/>
    <w:basedOn w:val="30"/>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6"/>
    <w:basedOn w:val="30"/>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1">
    <w:name w:val="Footnote Text Char"/>
    <w:link w:val="25"/>
    <w:uiPriority w:val="99"/>
    <w:rPr>
      <w:sz w:val="18"/>
    </w:rPr>
  </w:style>
  <w:style w:type="character" w:customStyle="1" w:styleId="182">
    <w:name w:val="Endnote Text Char"/>
    <w:link w:val="19"/>
    <w:uiPriority w:val="99"/>
    <w:rPr>
      <w:sz w:val="20"/>
    </w:rPr>
  </w:style>
  <w:style w:type="paragraph" w:customStyle="1" w:styleId="183">
    <w:name w:val="TOC Heading"/>
    <w:unhideWhenUsed/>
    <w:uiPriority w:val="39"/>
    <w:rPr>
      <w:rFonts w:hint="default" w:ascii="Calibri" w:hAnsi="Calibri" w:eastAsia="宋体" w:cs="Times New Roman"/>
    </w:rPr>
  </w:style>
  <w:style w:type="character" w:customStyle="1" w:styleId="184">
    <w:name w:val="font71"/>
    <w:basedOn w:val="32"/>
    <w:qFormat/>
    <w:uiPriority w:val="0"/>
    <w:rPr>
      <w:rFonts w:hint="eastAsia" w:ascii="仿宋_GB2312" w:hAnsi="Calibri" w:eastAsia="仿宋_GB2312" w:cs="仿宋_GB2312"/>
      <w:b/>
      <w:bCs/>
      <w:color w:val="000000"/>
      <w:sz w:val="24"/>
      <w:szCs w:val="24"/>
      <w:u w:val="none"/>
    </w:rPr>
  </w:style>
  <w:style w:type="character" w:customStyle="1" w:styleId="185">
    <w:name w:val="font41"/>
    <w:basedOn w:val="32"/>
    <w:qFormat/>
    <w:uiPriority w:val="0"/>
    <w:rPr>
      <w:rFonts w:hint="eastAsia" w:ascii="仿宋_GB2312" w:hAnsi="Calibri" w:eastAsia="仿宋_GB2312" w:cs="仿宋_GB2312"/>
      <w:color w:val="000000"/>
      <w:sz w:val="24"/>
      <w:szCs w:val="24"/>
      <w:u w:val="none"/>
    </w:rPr>
  </w:style>
  <w:style w:type="character" w:customStyle="1" w:styleId="186">
    <w:name w:val="font101"/>
    <w:basedOn w:val="32"/>
    <w:qFormat/>
    <w:uiPriority w:val="0"/>
    <w:rPr>
      <w:rFonts w:hint="eastAsia" w:ascii="仿宋_GB2312" w:hAnsi="Calibri" w:eastAsia="仿宋_GB2312" w:cs="仿宋_GB2312"/>
      <w:b/>
      <w:bCs/>
      <w:color w:val="FF0000"/>
      <w:sz w:val="24"/>
      <w:szCs w:val="24"/>
      <w:u w:val="none"/>
    </w:rPr>
  </w:style>
  <w:style w:type="character" w:customStyle="1" w:styleId="187">
    <w:name w:val="font11"/>
    <w:basedOn w:val="32"/>
    <w:qFormat/>
    <w:uiPriority w:val="0"/>
    <w:rPr>
      <w:rFonts w:hint="eastAsia" w:ascii="仿宋_GB2312" w:hAnsi="Calibri"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38524</Words>
  <Characters>38795</Characters>
  <TotalTime>2</TotalTime>
  <ScaleCrop>false</ScaleCrop>
  <LinksUpToDate>false</LinksUpToDate>
  <CharactersWithSpaces>39252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2023-04-06T08:41:00Z</dcterms:created>
  <dc:creator>王青</dc:creator>
  <cp:lastModifiedBy>Administrator</cp:lastModifiedBy>
  <dcterms:modified xsi:type="dcterms:W3CDTF">2025-01-09T02:22:26Z</dcterms:modified>
  <dc:title>山西省市场监督管理局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文种">
    <vt:lpwstr/>
  </property>
  <property fmtid="{D5CDD505-2E9C-101B-9397-08002B2CF9AE}" pid="4" name="ICV">
    <vt:lpwstr>4B76207F635E43DDA072EFF511BF5646_13</vt:lpwstr>
  </property>
  <property fmtid="{D5CDD505-2E9C-101B-9397-08002B2CF9AE}" pid="5" name="KSOTemplateDocerSaveRecord">
    <vt:lpwstr>eyJoZGlkIjoiNGJiMjU0ODQ3Mjc1ZjlmMWMwZTQ3Y2MwYzUzOWZmMjYifQ==</vt:lpwstr>
  </property>
</Properties>
</file>