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tbl>
      <w:tblPr>
        <w:tblStyle w:val="656"/>
        <w:tblW w:w="15100" w:type="dxa"/>
        <w:tblInd w:w="-671" w:type="dxa"/>
        <w:tblBorders/>
        <w:tblLayout w:type="fixed"/>
        <w:tblCellMar>
          <w:left w:w="15" w:type="dxa"/>
          <w:top w:w="0" w:type="dxa"/>
          <w:right w:w="15" w:type="dxa"/>
          <w:bottom w:w="0" w:type="dxa"/>
        </w:tblCellMar>
        <w:tblLook w:val="04A0" w:firstRow="1" w:lastRow="0" w:firstColumn="1" w:lastColumn="0" w:noHBand="0" w:noVBand="1"/>
      </w:tblPr>
      <w:tblGrid>
        <w:gridCol w:w="525"/>
        <w:gridCol w:w="788"/>
        <w:gridCol w:w="1762"/>
        <w:gridCol w:w="638"/>
        <w:gridCol w:w="2947"/>
        <w:gridCol w:w="1440"/>
        <w:gridCol w:w="975"/>
        <w:gridCol w:w="3200"/>
        <w:gridCol w:w="2150"/>
        <w:gridCol w:w="675"/>
      </w:tblGrid>
      <w:tr>
        <w:trPr>
          <w:trHeight w:val="960"/>
        </w:trPr>
        <w:tc>
          <w:tcPr>
            <w:gridSpan w:val="10"/>
            <w:tcBorders/>
            <w:tcW w:w="15100" w:type="dxa"/>
            <w:vAlign w:val="center"/>
            <w:textDirection w:val="lrTb"/>
            <w:noWrap w:val="false"/>
          </w:tcPr>
          <w:p>
            <w:pPr>
              <w:pBdr/>
              <w:spacing/>
              <w:ind/>
              <w:jc w:val="center"/>
              <w:rPr>
                <w:rFonts w:ascii="宋体" w:hAnsi="宋体"/>
                <w:b/>
                <w:color w:val="000000"/>
                <w:sz w:val="48"/>
              </w:rPr>
            </w:pPr>
            <w:r/>
            <w:bookmarkStart w:id="0" w:name="_GoBack"/>
            <w:r/>
            <w:bookmarkEnd w:id="0"/>
            <w:r>
              <w:rPr>
                <w:rFonts w:hint="eastAsia" w:ascii="宋体" w:hAnsi="宋体"/>
                <w:b/>
                <w:color w:val="000000"/>
                <w:sz w:val="48"/>
              </w:rPr>
              <w:t xml:space="preserve">应县市场监督管理局</w:t>
            </w:r>
            <w:r>
              <w:rPr>
                <w:rFonts w:ascii="宋体" w:hAnsi="宋体"/>
                <w:b/>
                <w:color w:val="000000"/>
                <w:sz w:val="48"/>
              </w:rPr>
              <w:t xml:space="preserve">重大行政执法决定法制审核目录清单</w:t>
            </w:r>
            <w:r>
              <w:rPr>
                <w:rFonts w:ascii="宋体" w:hAnsi="宋体"/>
                <w:b/>
                <w:color w:val="000000"/>
                <w:sz w:val="48"/>
              </w:rPr>
            </w:r>
          </w:p>
        </w:tc>
      </w:tr>
      <w:tr>
        <w:trPr>
          <w:trHeight w:val="990"/>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序号</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执法</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类别</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审核项目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承办机构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审核条件</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审核依据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提交的审核材料</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重点</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期限</w:t>
            </w:r>
            <w:r>
              <w:rPr>
                <w:rFonts w:ascii="宋体" w:hAnsi="宋体"/>
                <w:b/>
                <w:color w:val="000000"/>
                <w:sz w:val="24"/>
              </w:rPr>
            </w:r>
          </w:p>
        </w:tc>
      </w:tr>
      <w:tr>
        <w:trPr>
          <w:trHeight w:val="5336"/>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 xml:space="preserve">1</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center"/>
              <w:rPr>
                <w:rFonts w:ascii="宋体" w:hAnsi="宋体" w:cs="宋体"/>
                <w:color w:val="000000"/>
                <w:sz w:val="20"/>
                <w:szCs w:val="20"/>
              </w:rPr>
            </w:pPr>
            <w:r>
              <w:rPr>
                <w:rFonts w:hint="eastAsia" w:ascii="宋体" w:hAnsi="宋体" w:cs="宋体"/>
                <w:color w:val="000000"/>
                <w:sz w:val="20"/>
                <w:szCs w:val="20"/>
              </w:rPr>
              <w:t xml:space="preserve">行政</w:t>
            </w:r>
            <w:r>
              <w:rPr>
                <w:rFonts w:ascii="宋体" w:hAnsi="宋体" w:cs="宋体"/>
                <w:color w:val="000000"/>
                <w:sz w:val="20"/>
                <w:szCs w:val="20"/>
              </w:rPr>
            </w:r>
          </w:p>
          <w:p>
            <w:pPr>
              <w:pBdr/>
              <w:spacing/>
              <w:ind/>
              <w:jc w:val="center"/>
              <w:rPr>
                <w:rFonts w:ascii="宋体" w:hAnsi="宋体" w:cs="宋体"/>
                <w:color w:val="000000"/>
                <w:sz w:val="20"/>
                <w:szCs w:val="20"/>
              </w:rPr>
            </w:pPr>
            <w:r>
              <w:rPr>
                <w:rFonts w:hint="eastAsia" w:ascii="宋体" w:hAnsi="宋体" w:cs="宋体"/>
                <w:color w:val="000000"/>
                <w:sz w:val="20"/>
                <w:szCs w:val="20"/>
              </w:rPr>
              <w:t xml:space="preserve">处罚</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适用一般程序行政处罚案件</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各科室、执法队</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1、吊销营业执照、许可证；2、责令停产停业；3、对公民个人在经营性活动中的违法行为作出一万元以上，对法人或者其他组织在经营性活动中的违法行为作出</w:t>
            </w:r>
            <w:r>
              <w:rPr>
                <w:rFonts w:hint="eastAsia" w:ascii="宋体" w:hAnsi="宋体" w:cs="宋体"/>
                <w:color w:val="000000"/>
                <w:sz w:val="20"/>
                <w:szCs w:val="20"/>
                <w:lang w:eastAsia="zh-CN"/>
              </w:rPr>
              <w:t xml:space="preserve">五</w:t>
            </w:r>
            <w:r>
              <w:rPr>
                <w:rFonts w:hint="eastAsia" w:ascii="宋体" w:hAnsi="宋体" w:cs="宋体"/>
                <w:color w:val="000000"/>
                <w:sz w:val="20"/>
                <w:szCs w:val="20"/>
              </w:rPr>
              <w:t xml:space="preserve">十万元以上罚款；4、对公民个人在非经营性活动中的违法行为作出一万元以上，对法人或者其他组织在非经营性活动中的违法行为作出十万元以上罚款；</w:t>
            </w:r>
            <w:r>
              <w:rPr>
                <w:rFonts w:hint="eastAsia" w:ascii="宋体" w:hAnsi="宋体" w:cs="宋体"/>
                <w:color w:val="000000"/>
                <w:sz w:val="20"/>
                <w:szCs w:val="20"/>
                <w:lang w:val="en-US" w:eastAsia="zh-CN"/>
              </w:rPr>
              <w:t xml:space="preserve">5、经听证程序作出的，并拟对自然人处以一万元以上、对法人或者其他组织处以十万元以上罚款的行政执法决定。6</w:t>
            </w:r>
            <w:r>
              <w:rPr>
                <w:rFonts w:hint="eastAsia" w:ascii="宋体" w:hAnsi="宋体" w:cs="宋体"/>
                <w:color w:val="000000"/>
                <w:sz w:val="20"/>
                <w:szCs w:val="20"/>
              </w:rPr>
              <w:t xml:space="preserve">、法律、法规、规章规定的其他重大行政处罚事项。</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 xml:space="preserve">《《中华人民共和国行政处罚法》</w:t>
            </w:r>
            <w:r>
              <w:rPr>
                <w:rFonts w:hint="eastAsia" w:ascii="宋体" w:hAnsi="宋体" w:cs="宋体"/>
                <w:color w:val="000000"/>
                <w:sz w:val="20"/>
                <w:szCs w:val="20"/>
                <w:lang w:eastAsia="zh-CN"/>
              </w:rPr>
              <w:t xml:space="preserve">及市场监管相关法律法规</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left"/>
              <w:rPr>
                <w:rFonts w:hint="eastAsia" w:ascii="宋体" w:hAnsi="宋体" w:cs="宋体"/>
                <w:color w:val="000000"/>
                <w:sz w:val="20"/>
                <w:szCs w:val="20"/>
              </w:rPr>
            </w:pPr>
            <w:r>
              <w:rPr>
                <w:rFonts w:hint="eastAsia" w:ascii="宋体" w:hAnsi="宋体" w:cs="宋体"/>
                <w:color w:val="000000"/>
                <w:sz w:val="20"/>
                <w:szCs w:val="20"/>
              </w:rPr>
              <w:t xml:space="preserve">应县市场监</w:t>
            </w:r>
            <w:r>
              <w:rPr>
                <w:rFonts w:hint="eastAsia" w:ascii="宋体" w:hAnsi="宋体" w:cs="宋体"/>
                <w:color w:val="000000"/>
                <w:sz w:val="20"/>
                <w:szCs w:val="20"/>
              </w:rPr>
            </w:r>
            <w:r>
              <w:rPr>
                <w:rFonts w:hint="eastAsia" w:ascii="宋体" w:hAnsi="宋体" w:cs="宋体"/>
                <w:color w:val="000000"/>
                <w:sz w:val="20"/>
                <w:szCs w:val="20"/>
              </w:rPr>
              <w:t xml:space="preserve">督管理局参加重大行政执法决定集体法制审核人员</w:t>
            </w:r>
            <w:r>
              <w:rPr>
                <w:rFonts w:ascii="宋体" w:hAnsi="宋体" w:cs="宋体"/>
                <w:color w:val="000000"/>
                <w:sz w:val="20"/>
                <w:szCs w:val="20"/>
              </w:rPr>
            </w:r>
            <w:r>
              <w:rPr>
                <w:rFonts w:hint="eastAsia"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1、立案审批表；2、当事人身份证件或营业执照；3、书证物证、询问笔录、现场笔录、视听资料、计算机数据、当事人陈述、勘验笔录、鉴定结论等；3、案件调查终结报告；4、重大行政执法决定建议或者意见及其情况说明；5、经听证或者评估、检验的，还应当提交听证笔录或者评估、检验报告；6、相关证据材料。</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执法主体是否合法，是否具有管辖权；执法人员是否具备执法资格；当事人的基本情况是否清楚；案件事实是否清楚、证据是否充分；定性是否准确；适用依据是否正确；处罚是否适当；程序是否合法；是否超越或者滥用职权；是否充分保障行政相对人权利；</w:t>
            </w:r>
            <w:r>
              <w:rPr>
                <w:rFonts w:hint="eastAsia" w:ascii="宋体" w:hAnsi="宋体" w:cs="宋体"/>
                <w:color w:val="000000"/>
                <w:sz w:val="20"/>
                <w:szCs w:val="20"/>
                <w:lang w:eastAsia="zh-CN"/>
              </w:rPr>
              <w:t xml:space="preserve">违法行为是否涉嫌犯罪、需要移送司法机关；</w:t>
            </w:r>
            <w:r>
              <w:rPr>
                <w:rFonts w:hint="eastAsia" w:ascii="宋体" w:hAnsi="宋体" w:cs="宋体"/>
                <w:color w:val="000000"/>
                <w:sz w:val="20"/>
                <w:szCs w:val="20"/>
              </w:rPr>
              <w:t xml:space="preserve">其他应当审核的内容。</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一般情况10个工作日，复杂的可以延长10个工作日</w:t>
            </w:r>
            <w:r>
              <w:rPr>
                <w:rFonts w:ascii="宋体" w:hAnsi="宋体" w:cs="宋体"/>
                <w:color w:val="000000"/>
                <w:sz w:val="20"/>
                <w:szCs w:val="20"/>
              </w:rPr>
            </w:r>
          </w:p>
        </w:tc>
      </w:tr>
      <w:tr>
        <w:trPr>
          <w:trHeight w:val="1114"/>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序号</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执法</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类别</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审核项目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承办机构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审核条件</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审核依据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提交的审核材料</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重点</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期限</w:t>
            </w:r>
            <w:r>
              <w:rPr>
                <w:rFonts w:ascii="宋体" w:hAnsi="宋体"/>
                <w:b/>
                <w:color w:val="000000"/>
                <w:sz w:val="24"/>
              </w:rPr>
            </w:r>
          </w:p>
        </w:tc>
      </w:tr>
      <w:tr>
        <w:trPr>
          <w:trHeight w:val="6299"/>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 xml:space="preserve">2</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center"/>
              <w:rPr>
                <w:rFonts w:ascii="宋体" w:hAnsi="宋体" w:cs="宋体"/>
                <w:color w:val="000000"/>
                <w:sz w:val="20"/>
                <w:szCs w:val="20"/>
              </w:rPr>
            </w:pPr>
            <w:r>
              <w:rPr>
                <w:rFonts w:hint="eastAsia" w:ascii="宋体" w:hAnsi="宋体" w:cs="宋体"/>
                <w:color w:val="000000"/>
                <w:sz w:val="20"/>
                <w:szCs w:val="20"/>
              </w:rPr>
              <w:t xml:space="preserve">行政</w:t>
            </w:r>
            <w:r>
              <w:rPr>
                <w:rFonts w:ascii="宋体" w:hAnsi="宋体" w:cs="宋体"/>
                <w:color w:val="000000"/>
                <w:sz w:val="20"/>
                <w:szCs w:val="20"/>
              </w:rPr>
            </w:r>
          </w:p>
          <w:p>
            <w:pPr>
              <w:pBdr/>
              <w:spacing/>
              <w:ind/>
              <w:jc w:val="center"/>
              <w:rPr>
                <w:rFonts w:ascii="宋体" w:hAnsi="宋体" w:cs="宋体"/>
                <w:color w:val="000000"/>
                <w:sz w:val="20"/>
                <w:szCs w:val="20"/>
              </w:rPr>
            </w:pPr>
            <w:r>
              <w:rPr>
                <w:rFonts w:hint="eastAsia" w:ascii="宋体" w:hAnsi="宋体" w:cs="宋体"/>
                <w:color w:val="000000"/>
                <w:sz w:val="20"/>
                <w:szCs w:val="20"/>
              </w:rPr>
              <w:t xml:space="preserve">强制</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依法实施查封、扣押行政强制措施</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各科室、执法队</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left"/>
              <w:rPr>
                <w:rFonts w:hint="eastAsia" w:ascii="宋体" w:hAnsi="宋体" w:cs="宋体"/>
                <w:color w:val="000000"/>
                <w:sz w:val="20"/>
                <w:szCs w:val="20"/>
              </w:rPr>
            </w:pPr>
            <w:r>
              <w:rPr>
                <w:rFonts w:hint="eastAsia" w:ascii="宋体" w:hAnsi="宋体" w:cs="宋体"/>
                <w:color w:val="000000"/>
                <w:sz w:val="20"/>
                <w:szCs w:val="20"/>
              </w:rPr>
              <w:t xml:space="preserve">1、查封、扣押公民的涉案场所、设施或者财物，涉案面积100 平方米以上或价值5 万元以上的行政强制决定；</w:t>
            </w:r>
            <w:r>
              <w:rPr>
                <w:rFonts w:hint="eastAsia" w:ascii="宋体" w:hAnsi="宋体" w:cs="宋体"/>
                <w:color w:val="000000"/>
                <w:sz w:val="20"/>
                <w:szCs w:val="20"/>
              </w:rPr>
            </w:r>
          </w:p>
          <w:p>
            <w:pPr>
              <w:pBdr/>
              <w:spacing/>
              <w:ind/>
              <w:jc w:val="left"/>
              <w:rPr>
                <w:rFonts w:hint="eastAsia" w:ascii="宋体" w:hAnsi="宋体" w:cs="宋体"/>
                <w:color w:val="000000"/>
                <w:sz w:val="20"/>
                <w:szCs w:val="20"/>
              </w:rPr>
            </w:pPr>
            <w:r>
              <w:rPr>
                <w:rFonts w:hint="eastAsia" w:ascii="宋体" w:hAnsi="宋体" w:cs="宋体"/>
                <w:color w:val="000000"/>
                <w:sz w:val="20"/>
                <w:szCs w:val="20"/>
              </w:rPr>
              <w:t xml:space="preserve">2.查封、扣押法人或其他组织的涉案场所、设施或者财物，涉案面积500 平方米以上或价值20 万元以上的行政强制决定。</w:t>
            </w:r>
            <w:r>
              <w:rPr>
                <w:rFonts w:hint="eastAsia" w:ascii="宋体" w:hAnsi="宋体" w:cs="宋体"/>
                <w:color w:val="000000"/>
                <w:sz w:val="20"/>
                <w:szCs w:val="20"/>
              </w:rPr>
            </w:r>
          </w:p>
          <w:p>
            <w:pPr>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 xml:space="preserve">《中华人民共和国行政强制法》</w:t>
            </w:r>
            <w:r>
              <w:rPr>
                <w:rFonts w:hint="eastAsia" w:ascii="宋体" w:hAnsi="宋体" w:cs="宋体"/>
                <w:color w:val="000000"/>
                <w:sz w:val="20"/>
                <w:szCs w:val="20"/>
                <w:lang w:eastAsia="zh-CN"/>
              </w:rPr>
              <w:t xml:space="preserve">及市场监管相关法律法规</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left"/>
              <w:rPr>
                <w:rFonts w:hint="eastAsia" w:ascii="宋体" w:hAnsi="宋体" w:cs="宋体"/>
                <w:color w:val="000000"/>
                <w:sz w:val="20"/>
                <w:szCs w:val="20"/>
              </w:rPr>
            </w:pPr>
            <w:r>
              <w:rPr>
                <w:rFonts w:hint="eastAsia" w:ascii="宋体" w:hAnsi="宋体" w:cs="宋体"/>
                <w:color w:val="000000"/>
                <w:sz w:val="20"/>
                <w:szCs w:val="20"/>
              </w:rPr>
              <w:t xml:space="preserve">应县市场监督管理</w:t>
            </w:r>
            <w:r>
              <w:rPr>
                <w:rFonts w:hint="eastAsia" w:ascii="宋体" w:hAnsi="宋体" w:cs="宋体"/>
                <w:color w:val="000000"/>
                <w:sz w:val="20"/>
                <w:szCs w:val="20"/>
              </w:rPr>
            </w:r>
          </w:p>
          <w:p>
            <w:pPr>
              <w:pBdr/>
              <w:spacing/>
              <w:ind/>
              <w:jc w:val="left"/>
              <w:rPr>
                <w:rFonts w:ascii="宋体" w:hAnsi="宋体" w:cs="宋体"/>
                <w:color w:val="000000"/>
                <w:sz w:val="20"/>
                <w:szCs w:val="20"/>
              </w:rPr>
            </w:pPr>
            <w:r>
              <w:rPr>
                <w:rFonts w:hint="eastAsia" w:ascii="宋体" w:hAnsi="宋体" w:cs="宋体"/>
                <w:color w:val="000000"/>
                <w:sz w:val="20"/>
                <w:szCs w:val="20"/>
              </w:rPr>
              <w:t xml:space="preserve">局参加重大行政执法决定集体法制审核人员</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1、现场检查笔录；2、《查封（扣押）审批表》《查封（扣押）决定书》《查封扣押物品清单》《查封（扣押）延期审批表》《查封（扣押）延期通知书》。</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执法主体是否合法，是否具有管辖权；执法人员是否具备执法资格；当事人的基本情况是否清楚；案件事实是否清楚、证据是否充分；定性是否准确；适用依据是否正确；处罚是否适当；程序是否合法；是否超越或者滥用职权；是否充分保障行政相对人权利；</w:t>
            </w:r>
            <w:r>
              <w:rPr>
                <w:rFonts w:hint="eastAsia" w:ascii="宋体" w:hAnsi="宋体" w:cs="宋体"/>
                <w:color w:val="000000"/>
                <w:sz w:val="20"/>
                <w:szCs w:val="20"/>
                <w:lang w:eastAsia="zh-CN"/>
              </w:rPr>
              <w:t xml:space="preserve">违法行为是否涉嫌犯罪、需要移送司法机关；</w:t>
            </w:r>
            <w:r>
              <w:rPr>
                <w:rFonts w:hint="eastAsia" w:ascii="宋体" w:hAnsi="宋体" w:cs="宋体"/>
                <w:color w:val="000000"/>
                <w:sz w:val="20"/>
                <w:szCs w:val="20"/>
              </w:rPr>
              <w:t xml:space="preserve">其他应当审核的内容。</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一般情况10个工日，复杂的可以延长10个工作日</w:t>
            </w:r>
            <w:r>
              <w:rPr>
                <w:rFonts w:ascii="宋体" w:hAnsi="宋体" w:cs="宋体"/>
                <w:color w:val="000000"/>
                <w:sz w:val="20"/>
                <w:szCs w:val="20"/>
              </w:rPr>
            </w:r>
          </w:p>
        </w:tc>
      </w:tr>
      <w:tr>
        <w:trPr>
          <w:trHeight w:val="1114"/>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序号</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执法</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类别</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审核项目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承办机构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审核条件</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审核依据</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r>
          </w:p>
          <w:p>
            <w:pPr>
              <w:pBdr/>
              <w:spacing/>
              <w:ind/>
              <w:jc w:val="center"/>
              <w:rPr>
                <w:rFonts w:ascii="宋体" w:hAnsi="宋体"/>
                <w:b/>
                <w:color w:val="000000"/>
                <w:sz w:val="24"/>
              </w:rPr>
            </w:pPr>
            <w:r>
              <w:rPr>
                <w:rFonts w:ascii="宋体" w:hAnsi="宋体"/>
                <w:b/>
                <w:color w:val="000000"/>
                <w:sz w:val="24"/>
              </w:rPr>
              <w:t xml:space="preserve">机构</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提交的审核材料</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重点</w:t>
            </w:r>
            <w:r>
              <w:rPr>
                <w:rFonts w:ascii="宋体" w:hAnsi="宋体"/>
                <w:b/>
                <w:color w:val="000000"/>
                <w:sz w:val="24"/>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center"/>
              <w:rPr>
                <w:rFonts w:ascii="宋体" w:hAnsi="宋体"/>
                <w:b/>
                <w:color w:val="000000"/>
                <w:sz w:val="24"/>
              </w:rPr>
            </w:pPr>
            <w:r>
              <w:rPr>
                <w:rFonts w:ascii="宋体" w:hAnsi="宋体"/>
                <w:b/>
                <w:color w:val="000000"/>
                <w:sz w:val="24"/>
              </w:rPr>
              <w:t xml:space="preserve">审核</w:t>
            </w:r>
            <w:r>
              <w:rPr>
                <w:rFonts w:ascii="宋体" w:hAnsi="宋体"/>
                <w:b/>
                <w:color w:val="000000"/>
                <w:sz w:val="24"/>
              </w:rPr>
              <w:br/>
            </w:r>
            <w:r>
              <w:rPr>
                <w:rFonts w:ascii="宋体" w:hAnsi="宋体"/>
                <w:b/>
                <w:color w:val="000000"/>
                <w:sz w:val="24"/>
              </w:rPr>
              <w:t xml:space="preserve">期限</w:t>
            </w:r>
            <w:r>
              <w:rPr>
                <w:rFonts w:ascii="宋体" w:hAnsi="宋体"/>
                <w:b/>
                <w:color w:val="000000"/>
                <w:sz w:val="24"/>
              </w:rPr>
            </w:r>
          </w:p>
        </w:tc>
      </w:tr>
      <w:tr>
        <w:trPr>
          <w:trHeight w:val="5949"/>
        </w:trPr>
        <w:tc>
          <w:tcPr>
            <w:tcBorders>
              <w:top w:val="single" w:color="000000" w:sz="4" w:space="0"/>
              <w:left w:val="single" w:color="000000" w:sz="4" w:space="0"/>
              <w:bottom w:val="single" w:color="000000" w:sz="4" w:space="0"/>
              <w:right w:val="single" w:color="000000" w:sz="4" w:space="0"/>
            </w:tcBorders>
            <w:tcW w:w="525" w:type="dxa"/>
            <w:vAlign w:val="center"/>
            <w:textDirection w:val="lrTb"/>
            <w:noWrap w:val="false"/>
          </w:tcPr>
          <w:p>
            <w:pPr>
              <w:pBdr/>
              <w:spacing/>
              <w:ind/>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 xml:space="preserve">3</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Bdr/>
              <w:spacing/>
              <w:ind/>
              <w:jc w:val="left"/>
              <w:rPr>
                <w:rFonts w:hint="eastAsia" w:ascii="宋体" w:hAnsi="宋体" w:cs="宋体"/>
                <w:color w:val="000000"/>
                <w:sz w:val="20"/>
                <w:szCs w:val="20"/>
                <w:lang w:eastAsia="zh-CN"/>
              </w:rPr>
            </w:pPr>
            <w:r>
              <w:rPr>
                <w:rFonts w:hint="eastAsia" w:ascii="宋体" w:hAnsi="宋体" w:cs="宋体"/>
                <w:color w:val="000000"/>
                <w:sz w:val="20"/>
                <w:szCs w:val="20"/>
                <w:lang w:eastAsia="zh-CN"/>
              </w:rPr>
              <w:t xml:space="preserve">其他行政执法决定</w:t>
            </w:r>
            <w:r>
              <w:rPr>
                <w:rFonts w:hint="eastAsia" w:ascii="宋体" w:hAnsi="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1762"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lang w:eastAsia="zh-CN"/>
              </w:rPr>
              <w:t xml:space="preserve">其他需要审核的重大行政执法决定</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638"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各科室、执法队</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2947" w:type="dxa"/>
            <w:vAlign w:val="center"/>
            <w:textDirection w:val="lrTb"/>
            <w:noWrap w:val="false"/>
          </w:tcPr>
          <w:p>
            <w:pPr>
              <w:pBdr/>
              <w:spacing/>
              <w:ind/>
              <w:jc w:val="left"/>
              <w:rPr>
                <w:rFonts w:hint="eastAsia" w:ascii="宋体" w:hAnsi="宋体" w:cs="宋体"/>
                <w:color w:val="000000"/>
                <w:sz w:val="20"/>
                <w:szCs w:val="20"/>
              </w:rPr>
            </w:pPr>
            <w:r>
              <w:rPr>
                <w:rFonts w:hint="eastAsia" w:ascii="宋体" w:hAnsi="宋体" w:cs="宋体"/>
                <w:color w:val="000000"/>
                <w:sz w:val="20"/>
                <w:szCs w:val="20"/>
              </w:rPr>
              <w:t xml:space="preserve">1、</w:t>
            </w:r>
            <w:r>
              <w:rPr>
                <w:rFonts w:hint="eastAsia" w:ascii="宋体" w:hAnsi="宋体" w:cs="宋体"/>
                <w:color w:val="000000"/>
                <w:sz w:val="20"/>
                <w:szCs w:val="20"/>
                <w:lang w:eastAsia="zh-CN"/>
              </w:rPr>
              <w:t xml:space="preserve">直接关系行政相对人或第三人重大权益的行政执法决定</w:t>
            </w:r>
            <w:r>
              <w:rPr>
                <w:rFonts w:hint="eastAsia" w:ascii="宋体" w:hAnsi="宋体" w:cs="宋体"/>
                <w:color w:val="000000"/>
                <w:sz w:val="20"/>
                <w:szCs w:val="20"/>
              </w:rPr>
              <w:t xml:space="preserve">；</w:t>
            </w:r>
            <w:r>
              <w:rPr>
                <w:rFonts w:hint="eastAsia" w:ascii="宋体" w:hAnsi="宋体" w:cs="宋体"/>
                <w:color w:val="000000"/>
                <w:sz w:val="20"/>
                <w:szCs w:val="20"/>
              </w:rPr>
            </w:r>
          </w:p>
          <w:p>
            <w:pPr>
              <w:pBdr/>
              <w:spacing/>
              <w:ind/>
              <w:jc w:val="left"/>
              <w:rPr>
                <w:rFonts w:hint="eastAsia" w:ascii="宋体" w:hAnsi="宋体" w:cs="宋体"/>
                <w:color w:val="000000"/>
                <w:sz w:val="20"/>
                <w:szCs w:val="20"/>
                <w:lang w:eastAsia="zh-CN"/>
              </w:rPr>
            </w:pPr>
            <w:r>
              <w:rPr>
                <w:rFonts w:hint="eastAsia" w:ascii="宋体" w:hAnsi="宋体" w:cs="宋体"/>
                <w:color w:val="000000"/>
                <w:sz w:val="20"/>
                <w:szCs w:val="20"/>
              </w:rPr>
              <w:t xml:space="preserve">2.</w:t>
            </w:r>
            <w:r>
              <w:rPr>
                <w:rFonts w:hint="eastAsia" w:ascii="宋体" w:hAnsi="宋体" w:cs="宋体"/>
                <w:color w:val="000000"/>
                <w:sz w:val="20"/>
                <w:szCs w:val="20"/>
                <w:lang w:eastAsia="zh-CN"/>
              </w:rPr>
              <w:t xml:space="preserve">直接涉及重大公共利益、可能造成重大社会影响或引发社会风险的行政执法决定；</w:t>
            </w:r>
            <w:r>
              <w:rPr>
                <w:rFonts w:hint="eastAsia" w:ascii="宋体" w:hAnsi="宋体" w:cs="宋体"/>
                <w:color w:val="000000"/>
                <w:sz w:val="20"/>
                <w:szCs w:val="20"/>
                <w:lang w:eastAsia="zh-CN"/>
              </w:rPr>
            </w:r>
          </w:p>
          <w:p>
            <w:pPr>
              <w:pBdr/>
              <w:spacing/>
              <w:ind/>
              <w:jc w:val="lef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3、疑难复杂涉及多个法律关系的行政执法决定；</w:t>
            </w:r>
            <w:r>
              <w:rPr>
                <w:rFonts w:hint="eastAsia" w:ascii="宋体" w:hAnsi="宋体" w:cs="宋体"/>
                <w:color w:val="000000"/>
                <w:sz w:val="20"/>
                <w:szCs w:val="20"/>
                <w:lang w:val="en-US" w:eastAsia="zh-CN"/>
              </w:rPr>
            </w:r>
          </w:p>
          <w:p>
            <w:pPr>
              <w:pBdr/>
              <w:spacing/>
              <w:ind/>
              <w:jc w:val="lef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4、法律法规规章规定的其他重大行政执法决定；</w:t>
            </w:r>
            <w:r>
              <w:rPr>
                <w:rFonts w:hint="eastAsia" w:ascii="宋体" w:hAnsi="宋体" w:cs="宋体"/>
                <w:color w:val="000000"/>
                <w:sz w:val="20"/>
                <w:szCs w:val="20"/>
                <w:lang w:val="en-US" w:eastAsia="zh-CN"/>
              </w:rPr>
            </w:r>
          </w:p>
          <w:p>
            <w:pPr>
              <w:pBdr/>
              <w:spacing/>
              <w:ind/>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 xml:space="preserve">5、市局主要负责人认为应列为重大行政执法决定的其他行政执法决定。</w:t>
            </w:r>
            <w:r>
              <w:rPr>
                <w:rFonts w:hint="default" w:ascii="宋体" w:hAnsi="宋体" w:cs="宋体"/>
                <w:color w:val="000000"/>
                <w:sz w:val="20"/>
                <w:szCs w:val="20"/>
                <w:lang w:val="en-US" w:eastAsia="zh-CN"/>
              </w:rPr>
            </w:r>
          </w:p>
          <w:p>
            <w:pPr>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1440" w:type="dxa"/>
            <w:vAlign w:val="center"/>
            <w:textDirection w:val="lrTb"/>
            <w:noWrap w:val="false"/>
          </w:tcPr>
          <w:p>
            <w:pPr>
              <w:pBdr/>
              <w:spacing/>
              <w:ind/>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 xml:space="preserve">法律法规</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975"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应县市场监督管理局参加重大行政执法决定集体法制审核人员</w:t>
            </w:r>
            <w:r>
              <w:rPr>
                <w:rFonts w:ascii="宋体" w:hAnsi="宋体" w:cs="宋体"/>
                <w:color w:val="000000"/>
                <w:sz w:val="20"/>
                <w:szCs w:val="20"/>
              </w:rPr>
            </w:r>
          </w:p>
        </w:tc>
        <w:tc>
          <w:tcPr>
            <w:tcBorders>
              <w:top w:val="single" w:color="000000" w:sz="4" w:space="0"/>
              <w:left w:val="single" w:color="000000" w:sz="4" w:space="0"/>
              <w:bottom w:val="single" w:color="000000" w:sz="4" w:space="0"/>
              <w:right w:val="single" w:color="000000" w:sz="4" w:space="0"/>
            </w:tcBorders>
            <w:tcW w:w="3200" w:type="dxa"/>
            <w:vAlign w:val="center"/>
            <w:textDirection w:val="lrTb"/>
            <w:noWrap w:val="false"/>
          </w:tcPr>
          <w:p>
            <w:pPr>
              <w:numPr>
                <w:ilvl w:val="0"/>
                <w:numId w:val="1"/>
              </w:numPr>
              <w:pBdr/>
              <w:spacing/>
              <w:ind/>
              <w:jc w:val="lef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行政执法决定文书草稿；</w:t>
            </w:r>
            <w:r>
              <w:rPr>
                <w:rFonts w:hint="eastAsia" w:ascii="宋体" w:hAnsi="宋体" w:cs="宋体"/>
                <w:color w:val="000000"/>
                <w:sz w:val="20"/>
                <w:szCs w:val="20"/>
                <w:lang w:val="en-US" w:eastAsia="zh-CN"/>
              </w:rPr>
            </w:r>
          </w:p>
          <w:p>
            <w:pPr>
              <w:numPr>
                <w:ilvl w:val="0"/>
                <w:numId w:val="1"/>
              </w:numPr>
              <w:pBdr/>
              <w:spacing/>
              <w:ind w:firstLine="0" w:left="0"/>
              <w:jc w:val="lef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情况说明或者调查终结报告；</w:t>
            </w:r>
            <w:r>
              <w:rPr>
                <w:rFonts w:hint="eastAsia" w:ascii="宋体" w:hAnsi="宋体" w:cs="宋体"/>
                <w:color w:val="000000"/>
                <w:sz w:val="20"/>
                <w:szCs w:val="20"/>
                <w:lang w:val="en-US" w:eastAsia="zh-CN"/>
              </w:rPr>
            </w:r>
          </w:p>
          <w:p>
            <w:pPr>
              <w:numPr>
                <w:ilvl w:val="0"/>
                <w:numId w:val="1"/>
              </w:numPr>
              <w:pBdr/>
              <w:spacing/>
              <w:ind w:firstLine="0" w:left="0"/>
              <w:jc w:val="left"/>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法定依据和证据材料；</w:t>
            </w:r>
            <w:r>
              <w:rPr>
                <w:rFonts w:hint="eastAsia" w:ascii="宋体" w:hAnsi="宋体" w:cs="宋体"/>
                <w:color w:val="000000"/>
                <w:sz w:val="20"/>
                <w:szCs w:val="20"/>
                <w:lang w:val="en-US" w:eastAsia="zh-CN"/>
              </w:rPr>
            </w:r>
          </w:p>
          <w:p>
            <w:pPr>
              <w:numPr>
                <w:ilvl w:val="0"/>
                <w:numId w:val="1"/>
              </w:numPr>
              <w:pBdr/>
              <w:spacing/>
              <w:ind w:firstLine="0" w:left="0"/>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 xml:space="preserve">经听证或评估的，提交听证笔录或哦凝固报告；</w:t>
            </w:r>
            <w:r>
              <w:rPr>
                <w:rFonts w:hint="default" w:ascii="宋体" w:hAnsi="宋体" w:cs="宋体"/>
                <w:color w:val="000000"/>
                <w:sz w:val="20"/>
                <w:szCs w:val="20"/>
                <w:lang w:val="en-US" w:eastAsia="zh-CN"/>
              </w:rPr>
            </w:r>
          </w:p>
          <w:p>
            <w:pPr>
              <w:numPr>
                <w:ilvl w:val="0"/>
                <w:numId w:val="1"/>
              </w:numPr>
              <w:pBdr/>
              <w:spacing/>
              <w:ind w:firstLine="0" w:left="0"/>
              <w:jc w:val="left"/>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 xml:space="preserve">其他需要提交的材料。</w:t>
            </w:r>
            <w:r>
              <w:rPr>
                <w:rFonts w:hint="default" w:ascii="宋体" w:hAnsi="宋体" w:cs="宋体"/>
                <w:color w:val="000000"/>
                <w:sz w:val="20"/>
                <w:szCs w:val="20"/>
                <w:lang w:val="en-US" w:eastAsia="zh-CN"/>
              </w:rPr>
            </w:r>
          </w:p>
        </w:tc>
        <w:tc>
          <w:tcPr>
            <w:tcBorders>
              <w:top w:val="single" w:color="000000" w:sz="4" w:space="0"/>
              <w:left w:val="single" w:color="000000" w:sz="4" w:space="0"/>
              <w:bottom w:val="single" w:color="000000" w:sz="4" w:space="0"/>
              <w:right w:val="single" w:color="000000" w:sz="4" w:space="0"/>
            </w:tcBorders>
            <w:tcW w:w="2150" w:type="dxa"/>
            <w:vAlign w:val="center"/>
            <w:textDirection w:val="lrTb"/>
            <w:noWrap w:val="false"/>
          </w:tcPr>
          <w:p>
            <w:pPr>
              <w:pBdr/>
              <w:spacing/>
              <w:ind/>
              <w:jc w:val="left"/>
              <w:rPr>
                <w:rFonts w:hint="eastAsia" w:ascii="宋体" w:hAnsi="宋体" w:eastAsia="宋体" w:cs="宋体"/>
                <w:color w:val="000000"/>
                <w:sz w:val="20"/>
                <w:szCs w:val="20"/>
                <w:lang w:eastAsia="zh-CN"/>
              </w:rPr>
            </w:pPr>
            <w:r>
              <w:rPr>
                <w:rFonts w:hint="eastAsia" w:ascii="宋体" w:hAnsi="宋体" w:cs="宋体"/>
                <w:color w:val="000000"/>
                <w:sz w:val="20"/>
                <w:szCs w:val="20"/>
              </w:rPr>
              <w:t xml:space="preserve">执法主体是否合法，是否具有管辖权；执法人员是否具备执法资格；当事人的基本情况是否清楚；案件事实是否清楚、证据是否充分；定性是否准确；适用依据是否正确；处罚是否适当；程序是否合法；是否超越或者滥用职权；是否充分保障行政相对人权利；其他应当审核的内容。</w:t>
            </w:r>
            <w:r>
              <w:rPr>
                <w:rFonts w:hint="eastAsia" w:ascii="宋体" w:hAnsi="宋体" w:eastAsia="宋体" w:cs="宋体"/>
                <w:color w:val="000000"/>
                <w:sz w:val="20"/>
                <w:szCs w:val="20"/>
                <w:lang w:eastAsia="zh-CN"/>
              </w:rPr>
            </w:r>
          </w:p>
        </w:tc>
        <w:tc>
          <w:tcPr>
            <w:tcBorders>
              <w:top w:val="single" w:color="000000" w:sz="4" w:space="0"/>
              <w:left w:val="single" w:color="000000" w:sz="4" w:space="0"/>
              <w:bottom w:val="single" w:color="000000" w:sz="4" w:space="0"/>
              <w:right w:val="single" w:color="000000" w:sz="4" w:space="0"/>
            </w:tcBorders>
            <w:tcW w:w="675" w:type="dxa"/>
            <w:vAlign w:val="center"/>
            <w:textDirection w:val="lrTb"/>
            <w:noWrap w:val="false"/>
          </w:tcPr>
          <w:p>
            <w:pPr>
              <w:pBdr/>
              <w:spacing/>
              <w:ind/>
              <w:jc w:val="left"/>
              <w:rPr>
                <w:rFonts w:ascii="宋体" w:hAnsi="宋体" w:cs="宋体"/>
                <w:color w:val="000000"/>
                <w:sz w:val="20"/>
                <w:szCs w:val="20"/>
              </w:rPr>
            </w:pPr>
            <w:r>
              <w:rPr>
                <w:rFonts w:hint="eastAsia" w:ascii="宋体" w:hAnsi="宋体" w:cs="宋体"/>
                <w:color w:val="000000"/>
                <w:sz w:val="20"/>
                <w:szCs w:val="20"/>
              </w:rPr>
              <w:t xml:space="preserve">一般情况10个工日，复杂的可以延长10个工作日</w:t>
            </w:r>
            <w:r>
              <w:rPr>
                <w:rFonts w:ascii="宋体" w:hAnsi="宋体" w:cs="宋体"/>
                <w:color w:val="000000"/>
                <w:sz w:val="20"/>
                <w:szCs w:val="20"/>
              </w:rPr>
            </w:r>
          </w:p>
        </w:tc>
      </w:tr>
    </w:tbl>
    <w:p>
      <w:pPr>
        <w:pBdr/>
        <w:spacing/>
        <w:ind/>
        <w:rPr>
          <w:sz w:val="20"/>
          <w:szCs w:val="20"/>
        </w:rPr>
      </w:pPr>
      <w:r>
        <w:rPr>
          <w:sz w:val="20"/>
          <w:szCs w:val="20"/>
        </w:rPr>
      </w:r>
      <w:r>
        <w:rPr>
          <w:sz w:val="20"/>
          <w:szCs w:val="20"/>
        </w:rPr>
      </w:r>
    </w:p>
    <w:sectPr>
      <w:footerReference w:type="default" r:id="rId9"/>
      <w:footnotePr/>
      <w:endnotePr/>
      <w:type w:val="nextPage"/>
      <w:pgSz w:h="11906" w:orient="portrait" w:w="16838"/>
      <w:pgMar w:top="1800" w:right="1440" w:bottom="1800" w:left="144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黑体">
    <w:panose1 w:val="02010609060101010101"/>
  </w:font>
  <w:font w:name="Arial">
    <w:panose1 w:val="020B0604020202020204"/>
  </w:font>
  <w:font w:name="Calibri">
    <w:panose1 w:val="020F0502020204030204"/>
  </w:font>
  <w:font w:name="等线">
    <w:panose1 w:val="020B0604020202020204"/>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7"/>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a:effectLst/>
                    </wps:spPr>
                    <wps:txbx>
                      <w:txbxContent>
                        <w:p>
                          <w:pPr>
                            <w:pStyle w:val="657"/>
                            <w:pBdr/>
                            <w:spacing/>
                            <w:ind/>
                            <w:rPr/>
                          </w:pPr>
                          <w:r>
                            <w:rPr>
                              <w:rFonts w:hint="eastAsia"/>
                            </w:rPr>
                            <w:fldChar w:fldCharType="begin"/>
                          </w:r>
                          <w:r>
                            <w:rPr>
                              <w:rFonts w:hint="eastAsia"/>
                            </w:rPr>
                            <w:instrText xml:space="preserve"> PAGE  \* MERGEFORMAT </w:instrText>
                          </w:r>
                          <w:r>
                            <w:rPr>
                              <w:rFonts w:hint="eastAsia"/>
                            </w:rPr>
                            <w:fldChar w:fldCharType="separate"/>
                          </w:r>
                          <w:r>
                            <w:t xml:space="preserve">- 1 -</w:t>
                          </w:r>
                          <w:r>
                            <w:rPr>
                              <w:rFonts w:hint="eastAsia"/>
                            </w:rPr>
                            <w:fldChar w:fldCharType="end"/>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right;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57"/>
                      <w:pBdr/>
                      <w:spacing/>
                      <w:ind/>
                      <w:rPr/>
                    </w:pPr>
                    <w:r>
                      <w:rPr>
                        <w:rFonts w:hint="eastAsia"/>
                      </w:rPr>
                      <w:fldChar w:fldCharType="begin"/>
                    </w:r>
                    <w:r>
                      <w:rPr>
                        <w:rFonts w:hint="eastAsia"/>
                      </w:rPr>
                      <w:instrText xml:space="preserve"> PAGE  \* MERGEFORMAT </w:instrText>
                    </w:r>
                    <w:r>
                      <w:rPr>
                        <w:rFonts w:hint="eastAsia"/>
                      </w:rPr>
                      <w:fldChar w:fldCharType="separate"/>
                    </w:r>
                    <w:r>
                      <w:t xml:space="preserve">- 1 -</w:t>
                    </w:r>
                    <w:r>
                      <w:rPr>
                        <w:rFonts w:hint="eastAsia"/>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5"/>
    <w:link w:val="13"/>
    <w:uiPriority w:val="9"/>
    <w:pPr>
      <w:pBdr/>
      <w:spacing/>
      <w:ind/>
    </w:pPr>
    <w:rPr>
      <w:rFonts w:ascii="等线" w:hAnsi="等线" w:eastAsia="等线" w:cs="等线"/>
      <w:sz w:val="40"/>
      <w:szCs w:val="40"/>
    </w:rPr>
  </w:style>
  <w:style w:type="paragraph" w:styleId="15">
    <w:name w:val="Heading 2"/>
    <w:basedOn w:val="654"/>
    <w:next w:val="65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5"/>
    <w:link w:val="15"/>
    <w:uiPriority w:val="9"/>
    <w:pPr>
      <w:pBdr/>
      <w:spacing/>
      <w:ind/>
    </w:pPr>
    <w:rPr>
      <w:rFonts w:ascii="等线" w:hAnsi="等线" w:eastAsia="等线" w:cs="等线"/>
      <w:sz w:val="34"/>
    </w:rPr>
  </w:style>
  <w:style w:type="paragraph" w:styleId="17">
    <w:name w:val="Heading 3"/>
    <w:basedOn w:val="654"/>
    <w:next w:val="65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5"/>
    <w:link w:val="17"/>
    <w:uiPriority w:val="9"/>
    <w:pPr>
      <w:pBdr/>
      <w:spacing/>
      <w:ind/>
    </w:pPr>
    <w:rPr>
      <w:rFonts w:ascii="等线" w:hAnsi="等线" w:eastAsia="等线" w:cs="等线"/>
      <w:sz w:val="30"/>
      <w:szCs w:val="30"/>
    </w:rPr>
  </w:style>
  <w:style w:type="paragraph" w:styleId="19">
    <w:name w:val="Heading 4"/>
    <w:basedOn w:val="654"/>
    <w:next w:val="65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5"/>
    <w:link w:val="19"/>
    <w:uiPriority w:val="9"/>
    <w:pPr>
      <w:pBdr/>
      <w:spacing/>
      <w:ind/>
    </w:pPr>
    <w:rPr>
      <w:rFonts w:ascii="等线" w:hAnsi="等线" w:eastAsia="等线" w:cs="等线"/>
      <w:b/>
      <w:bCs/>
      <w:sz w:val="26"/>
      <w:szCs w:val="26"/>
    </w:rPr>
  </w:style>
  <w:style w:type="paragraph" w:styleId="21">
    <w:name w:val="Heading 5"/>
    <w:basedOn w:val="654"/>
    <w:next w:val="65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5"/>
    <w:link w:val="21"/>
    <w:uiPriority w:val="9"/>
    <w:pPr>
      <w:pBdr/>
      <w:spacing/>
      <w:ind/>
    </w:pPr>
    <w:rPr>
      <w:rFonts w:ascii="等线" w:hAnsi="等线" w:eastAsia="等线" w:cs="等线"/>
      <w:b/>
      <w:bCs/>
      <w:sz w:val="24"/>
      <w:szCs w:val="24"/>
    </w:rPr>
  </w:style>
  <w:style w:type="paragraph" w:styleId="23">
    <w:name w:val="Heading 6"/>
    <w:basedOn w:val="654"/>
    <w:next w:val="65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5"/>
    <w:link w:val="23"/>
    <w:uiPriority w:val="9"/>
    <w:pPr>
      <w:pBdr/>
      <w:spacing/>
      <w:ind/>
    </w:pPr>
    <w:rPr>
      <w:rFonts w:ascii="等线" w:hAnsi="等线" w:eastAsia="等线" w:cs="等线"/>
      <w:b/>
      <w:bCs/>
      <w:sz w:val="22"/>
      <w:szCs w:val="22"/>
    </w:rPr>
  </w:style>
  <w:style w:type="paragraph" w:styleId="25">
    <w:name w:val="Heading 7"/>
    <w:basedOn w:val="654"/>
    <w:next w:val="65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5"/>
    <w:link w:val="25"/>
    <w:uiPriority w:val="9"/>
    <w:pPr>
      <w:pBdr/>
      <w:spacing/>
      <w:ind/>
    </w:pPr>
    <w:rPr>
      <w:rFonts w:ascii="等线" w:hAnsi="等线" w:eastAsia="等线" w:cs="等线"/>
      <w:b/>
      <w:bCs/>
      <w:i/>
      <w:iCs/>
      <w:sz w:val="22"/>
      <w:szCs w:val="22"/>
    </w:rPr>
  </w:style>
  <w:style w:type="paragraph" w:styleId="27">
    <w:name w:val="Heading 8"/>
    <w:basedOn w:val="654"/>
    <w:next w:val="65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5"/>
    <w:link w:val="27"/>
    <w:uiPriority w:val="9"/>
    <w:pPr>
      <w:pBdr/>
      <w:spacing/>
      <w:ind/>
    </w:pPr>
    <w:rPr>
      <w:rFonts w:ascii="等线" w:hAnsi="等线" w:eastAsia="等线" w:cs="等线"/>
      <w:i/>
      <w:iCs/>
      <w:sz w:val="22"/>
      <w:szCs w:val="22"/>
    </w:rPr>
  </w:style>
  <w:style w:type="paragraph" w:styleId="29">
    <w:name w:val="Heading 9"/>
    <w:basedOn w:val="654"/>
    <w:next w:val="65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5"/>
    <w:link w:val="29"/>
    <w:uiPriority w:val="9"/>
    <w:pPr>
      <w:pBdr/>
      <w:spacing/>
      <w:ind/>
    </w:pPr>
    <w:rPr>
      <w:rFonts w:ascii="等线" w:hAnsi="等线" w:eastAsia="等线" w:cs="等线"/>
      <w:i/>
      <w:iCs/>
      <w:sz w:val="21"/>
      <w:szCs w:val="21"/>
    </w:rPr>
  </w:style>
  <w:style w:type="paragraph" w:styleId="31">
    <w:name w:val="List Paragraph"/>
    <w:basedOn w:val="65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4"/>
    <w:next w:val="654"/>
    <w:link w:val="35"/>
    <w:uiPriority w:val="10"/>
    <w:qFormat/>
    <w:pPr>
      <w:pBdr/>
      <w:spacing w:after="200" w:before="300"/>
      <w:ind/>
      <w:contextualSpacing w:val="true"/>
    </w:pPr>
    <w:rPr>
      <w:sz w:val="48"/>
      <w:szCs w:val="48"/>
    </w:rPr>
  </w:style>
  <w:style w:type="character" w:styleId="35">
    <w:name w:val="Title Char"/>
    <w:basedOn w:val="655"/>
    <w:link w:val="34"/>
    <w:uiPriority w:val="10"/>
    <w:pPr>
      <w:pBdr/>
      <w:spacing/>
      <w:ind/>
    </w:pPr>
    <w:rPr>
      <w:sz w:val="48"/>
      <w:szCs w:val="48"/>
    </w:rPr>
  </w:style>
  <w:style w:type="paragraph" w:styleId="36">
    <w:name w:val="Subtitle"/>
    <w:basedOn w:val="654"/>
    <w:next w:val="654"/>
    <w:link w:val="37"/>
    <w:uiPriority w:val="11"/>
    <w:qFormat/>
    <w:pPr>
      <w:pBdr/>
      <w:spacing w:after="200" w:before="200"/>
      <w:ind/>
    </w:pPr>
    <w:rPr>
      <w:sz w:val="24"/>
      <w:szCs w:val="24"/>
    </w:rPr>
  </w:style>
  <w:style w:type="character" w:styleId="37">
    <w:name w:val="Subtitle Char"/>
    <w:basedOn w:val="655"/>
    <w:link w:val="36"/>
    <w:uiPriority w:val="11"/>
    <w:pPr>
      <w:pBdr/>
      <w:spacing/>
      <w:ind/>
    </w:pPr>
    <w:rPr>
      <w:sz w:val="24"/>
      <w:szCs w:val="24"/>
    </w:rPr>
  </w:style>
  <w:style w:type="paragraph" w:styleId="38">
    <w:name w:val="Quote"/>
    <w:basedOn w:val="654"/>
    <w:next w:val="65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4"/>
    <w:next w:val="65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5"/>
    <w:link w:val="658"/>
    <w:uiPriority w:val="99"/>
    <w:pPr>
      <w:pBdr/>
      <w:spacing/>
      <w:ind/>
    </w:pPr>
  </w:style>
  <w:style w:type="character" w:styleId="45">
    <w:name w:val="Footer Char"/>
    <w:basedOn w:val="655"/>
    <w:link w:val="657"/>
    <w:uiPriority w:val="99"/>
    <w:pPr>
      <w:pBdr/>
      <w:spacing/>
      <w:ind/>
    </w:pPr>
  </w:style>
  <w:style w:type="paragraph" w:styleId="46">
    <w:name w:val="Caption"/>
    <w:basedOn w:val="654"/>
    <w:next w:val="65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7"/>
    <w:uiPriority w:val="99"/>
    <w:pPr>
      <w:pBdr/>
      <w:spacing/>
      <w:ind/>
    </w:pPr>
  </w:style>
  <w:style w:type="table" w:styleId="48">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5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5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54"/>
    <w:next w:val="654"/>
    <w:uiPriority w:val="39"/>
    <w:unhideWhenUsed/>
    <w:pPr>
      <w:pBdr/>
      <w:spacing w:after="57"/>
      <w:ind w:right="0" w:firstLine="0" w:left="0"/>
    </w:pPr>
  </w:style>
  <w:style w:type="paragraph" w:styleId="182">
    <w:name w:val="toc 2"/>
    <w:basedOn w:val="654"/>
    <w:next w:val="654"/>
    <w:uiPriority w:val="39"/>
    <w:unhideWhenUsed/>
    <w:pPr>
      <w:pBdr/>
      <w:spacing w:after="57"/>
      <w:ind w:right="0" w:firstLine="0" w:left="283"/>
    </w:pPr>
  </w:style>
  <w:style w:type="paragraph" w:styleId="183">
    <w:name w:val="toc 3"/>
    <w:basedOn w:val="654"/>
    <w:next w:val="654"/>
    <w:uiPriority w:val="39"/>
    <w:unhideWhenUsed/>
    <w:pPr>
      <w:pBdr/>
      <w:spacing w:after="57"/>
      <w:ind w:right="0" w:firstLine="0" w:left="567"/>
    </w:pPr>
  </w:style>
  <w:style w:type="paragraph" w:styleId="184">
    <w:name w:val="toc 4"/>
    <w:basedOn w:val="654"/>
    <w:next w:val="654"/>
    <w:uiPriority w:val="39"/>
    <w:unhideWhenUsed/>
    <w:pPr>
      <w:pBdr/>
      <w:spacing w:after="57"/>
      <w:ind w:right="0" w:firstLine="0" w:left="850"/>
    </w:pPr>
  </w:style>
  <w:style w:type="paragraph" w:styleId="185">
    <w:name w:val="toc 5"/>
    <w:basedOn w:val="654"/>
    <w:next w:val="654"/>
    <w:uiPriority w:val="39"/>
    <w:unhideWhenUsed/>
    <w:pPr>
      <w:pBdr/>
      <w:spacing w:after="57"/>
      <w:ind w:right="0" w:firstLine="0" w:left="1134"/>
    </w:pPr>
  </w:style>
  <w:style w:type="paragraph" w:styleId="186">
    <w:name w:val="toc 6"/>
    <w:basedOn w:val="654"/>
    <w:next w:val="654"/>
    <w:uiPriority w:val="39"/>
    <w:unhideWhenUsed/>
    <w:pPr>
      <w:pBdr/>
      <w:spacing w:after="57"/>
      <w:ind w:right="0" w:firstLine="0" w:left="1417"/>
    </w:pPr>
  </w:style>
  <w:style w:type="paragraph" w:styleId="187">
    <w:name w:val="toc 7"/>
    <w:basedOn w:val="654"/>
    <w:next w:val="654"/>
    <w:uiPriority w:val="39"/>
    <w:unhideWhenUsed/>
    <w:pPr>
      <w:pBdr/>
      <w:spacing w:after="57"/>
      <w:ind w:right="0" w:firstLine="0" w:left="1701"/>
    </w:pPr>
  </w:style>
  <w:style w:type="paragraph" w:styleId="188">
    <w:name w:val="toc 8"/>
    <w:basedOn w:val="654"/>
    <w:next w:val="654"/>
    <w:uiPriority w:val="39"/>
    <w:unhideWhenUsed/>
    <w:pPr>
      <w:pBdr/>
      <w:spacing w:after="57"/>
      <w:ind w:right="0" w:firstLine="0" w:left="1984"/>
    </w:pPr>
  </w:style>
  <w:style w:type="paragraph" w:styleId="189">
    <w:name w:val="toc 9"/>
    <w:basedOn w:val="654"/>
    <w:next w:val="65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4"/>
    <w:next w:val="654"/>
    <w:uiPriority w:val="99"/>
    <w:unhideWhenUsed/>
    <w:pPr>
      <w:pBdr/>
      <w:spacing w:after="0" w:afterAutospacing="0"/>
      <w:ind/>
    </w:pPr>
  </w:style>
  <w:style w:type="paragraph" w:styleId="654" w:default="1">
    <w:name w:val="Normal"/>
    <w:uiPriority w:val="0"/>
    <w:qFormat/>
    <w:pPr>
      <w:widowControl w:val="false"/>
      <w:pBdr/>
      <w:spacing/>
      <w:ind/>
      <w:jc w:val="both"/>
    </w:pPr>
    <w:rPr>
      <w:rFonts w:ascii="Calibri" w:hAnsi="Calibri" w:eastAsia="宋体" w:cs="黑体"/>
      <w:sz w:val="21"/>
      <w:szCs w:val="24"/>
      <w:lang w:val="en-US" w:eastAsia="zh-CN" w:bidi="ar-SA"/>
    </w:rPr>
  </w:style>
  <w:style w:type="character" w:styleId="655" w:default="1">
    <w:name w:val="Default Paragraph Font"/>
    <w:uiPriority w:val="1"/>
    <w:semiHidden/>
    <w:unhideWhenUsed/>
    <w:qFormat/>
    <w:pPr>
      <w:pBdr/>
      <w:spacing/>
      <w:ind/>
    </w:pPr>
  </w:style>
  <w:style w:type="table" w:styleId="656"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7">
    <w:name w:val="Footer"/>
    <w:basedOn w:val="654"/>
    <w:uiPriority w:val="0"/>
    <w:qFormat/>
    <w:pPr>
      <w:pBdr/>
      <w:tabs>
        <w:tab w:val="center" w:leader="none" w:pos="4153"/>
        <w:tab w:val="right" w:leader="none" w:pos="8306"/>
      </w:tabs>
      <w:spacing/>
      <w:ind/>
      <w:jc w:val="left"/>
    </w:pPr>
    <w:rPr>
      <w:sz w:val="18"/>
    </w:rPr>
  </w:style>
  <w:style w:type="paragraph" w:styleId="658">
    <w:name w:val="Header"/>
    <w:basedOn w:val="654"/>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paragraph" w:styleId="659">
    <w:name w:val="Normal (Web)"/>
    <w:basedOn w:val="654"/>
    <w:uiPriority w:val="0"/>
    <w:qFormat/>
    <w:pPr>
      <w:pBdr/>
      <w:spacing w:afterAutospacing="1" w:beforeAutospacing="1"/>
      <w:ind/>
      <w:jc w:val="left"/>
    </w:pPr>
    <w:rPr>
      <w:rFonts w:cs="Times New Roman"/>
      <w:sz w:val="24"/>
    </w:rPr>
  </w:style>
  <w:style w:type="character" w:styleId="660">
    <w:name w:val="Hyperlink"/>
    <w:basedOn w:val="655"/>
    <w:uiPriority w:val="0"/>
    <w:qFormat/>
    <w:pPr>
      <w:pBdr/>
      <w:spacing/>
      <w:ind/>
    </w:pPr>
    <w:rPr>
      <w:color w:val="0000ff"/>
      <w:u w:val="single"/>
    </w:rPr>
  </w:style>
  <w:style w:type="numbering" w:styleId="139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Sky123.Org</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匿名</cp:lastModifiedBy>
  <cp:revision>7</cp:revision>
  <dcterms:created xsi:type="dcterms:W3CDTF">2019-10-16T02:13:00Z</dcterms:created>
  <dcterms:modified xsi:type="dcterms:W3CDTF">2025-01-08T02:33:07Z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0FAFCF159092420FAB6842DA0ECCA3C3</vt:lpwstr>
  </property>
</Properties>
</file>