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529" w:type="dxa"/>
        <w:tblInd w:w="-8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62"/>
        <w:gridCol w:w="1575"/>
        <w:gridCol w:w="3227"/>
        <w:gridCol w:w="3104"/>
        <w:gridCol w:w="1038"/>
        <w:gridCol w:w="1004"/>
        <w:gridCol w:w="1165"/>
        <w:gridCol w:w="1454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60" w:hRule="atLeast"/>
        </w:trPr>
        <w:tc>
          <w:tcPr>
            <w:tcW w:w="14529" w:type="dxa"/>
            <w:gridSpan w:val="9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48"/>
                <w:u w:val="none"/>
                <w:lang w:val="en-US" w:eastAsia="zh-CN"/>
              </w:rPr>
              <w:t>司法局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  <w:t>随机抽查事项清单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5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抽查事项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检查依据</w:t>
            </w:r>
          </w:p>
        </w:tc>
        <w:tc>
          <w:tcPr>
            <w:tcW w:w="3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检查内容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检查方式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适用对象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抽查比例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抽查频次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75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对律师事务所及其律师的监督管理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45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司法部《律师事务所管理办法》第七章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450" w:lineRule="atLeast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司法部《律师执业管理办法》第五章；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450" w:lineRule="atLeast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司法部《律师事务所年度检查考核办法》</w:t>
            </w:r>
          </w:p>
        </w:tc>
        <w:tc>
          <w:tcPr>
            <w:tcW w:w="3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line="45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律师队伍建设情况；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line="450" w:lineRule="atLeast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业务活动开展情况；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line="450" w:lineRule="atLeast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律师执业表现情况；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line="450" w:lineRule="atLeast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内部管理情况；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line="450" w:lineRule="atLeast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受行政奖惩、行业奖惩的情况；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书面检查、 实地检查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0" w:lineRule="atLeast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律师事务所及所属律师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0" w:lineRule="atLeast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不低于20%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0" w:lineRule="atLeast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每年至少1次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司法鉴定机构及其鉴定人的监督检查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line="45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司法鉴定机构登记管理办法（司法部令第95号）第四条、第三十三条、第三十四条、第三十五条、第三十六条；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line="450" w:lineRule="atLeast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司法鉴定人登记管理办法（司法部令第96号）第四条、第二十三条、第二十四条、第二十五条、第二十六条；  </w:t>
            </w:r>
          </w:p>
        </w:tc>
        <w:tc>
          <w:tcPr>
            <w:tcW w:w="3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leftChars="0" w:firstLine="467" w:firstLineChars="0"/>
              <w:jc w:val="left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/>
              </w:rPr>
              <w:t>1.遵守法律、法规和规章情况；2.遵守司法鉴定程序、技术标准和技术操作规范的情况；3.所属司法鉴定人执业的情况；4.司法鉴定机构仪器配置情况；5.司法鉴定机构内部管理情况；6.法律、法规和规章规定的其他事项。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以实地核查为主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司法鉴定机构和司法鉴定人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0" w:lineRule="atLeast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不低于20%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0" w:lineRule="atLeast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每年至少1次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0"/>
                <w:szCs w:val="20"/>
                <w:lang w:val="en-US" w:eastAsia="zh-CN"/>
              </w:rPr>
            </w:pPr>
            <w:bookmarkStart w:id="0" w:name="_GoBack" w:colFirst="5" w:colLast="7"/>
            <w:r>
              <w:rPr>
                <w:rFonts w:hint="eastAsia" w:ascii="Times New Roman" w:hAnsi="Times New Roman" w:eastAsia="仿宋_GB2312" w:cs="仿宋_GB2312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司法鉴定执业活动投诉处理工作监督指导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1、司法鉴定执业活动投诉处理办法（司法部令第123号）第二十七条；2、司法鉴定程序通则（司法部令第132号）第九条； 3、司法鉴定机构内部管理规范（司发通[2014]49号）第二十二条</w:t>
            </w:r>
          </w:p>
        </w:tc>
        <w:tc>
          <w:tcPr>
            <w:tcW w:w="3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/>
              </w:rPr>
              <w:t>1.下级司法行政机关投诉处理工作；</w:t>
            </w:r>
          </w:p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/>
              </w:rPr>
              <w:t>2.司法行政机关审核登记的司法鉴定机构和司法鉴定人执业活动。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以实地核查为主，结合书面检查、网络监测、邮寄专用信函等方式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0" w:lineRule="atLeast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基层法律服务所和基层法律服务工作者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0" w:lineRule="atLeast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不低于20%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0" w:lineRule="atLeast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每年至少1次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对基层法律服务所及基层法律服务工作者的监督检查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《基层法律服务所管理办法》第三十五条；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default" w:ascii="Times New Roman" w:hAnsi="Times New Roman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《基层法律服务工作者管理办法》第六章</w:t>
            </w:r>
          </w:p>
        </w:tc>
        <w:tc>
          <w:tcPr>
            <w:tcW w:w="3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/>
              </w:rPr>
              <w:t>1、业务活动开展情况；</w:t>
            </w:r>
          </w:p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/>
              </w:rPr>
              <w:t>2、执业表现情况；</w:t>
            </w:r>
          </w:p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/>
              </w:rPr>
              <w:t>3、内部管理情况。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书面检查、 实地检查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cstheme="minorBidi"/>
                <w:kern w:val="0"/>
                <w:sz w:val="24"/>
                <w:szCs w:val="24"/>
                <w:lang w:val="en-US" w:eastAsia="zh-CN" w:bidi="ar"/>
              </w:rPr>
              <w:t>公证员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0" w:lineRule="atLeast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不低于20%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0" w:lineRule="atLeast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每年至少1次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0"/>
                <w:szCs w:val="20"/>
                <w:lang w:eastAsia="zh-CN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0" w:hRule="atLeast"/>
        </w:trPr>
        <w:tc>
          <w:tcPr>
            <w:tcW w:w="0" w:type="auto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0"/>
                <w:szCs w:val="20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914624"/>
    <w:multiLevelType w:val="singleLevel"/>
    <w:tmpl w:val="CC91462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B24787D"/>
    <w:multiLevelType w:val="singleLevel"/>
    <w:tmpl w:val="FB24787D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78306FE2"/>
    <w:multiLevelType w:val="singleLevel"/>
    <w:tmpl w:val="78306FE2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79BC26F1"/>
    <w:multiLevelType w:val="singleLevel"/>
    <w:tmpl w:val="79BC26F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87747"/>
    <w:rsid w:val="23D87747"/>
    <w:rsid w:val="7F35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2020-01-13T08:14:00Z</dcterms:created>
  <dc:creator>无为</dc:creator>
  <cp:lastModifiedBy>无为</cp:lastModifiedBy>
  <dcterms:modified xsi:type="dcterms:W3CDTF">2020-01-14T02:29:48Z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