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529" w:type="dxa"/>
        <w:tblInd w:w="-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62"/>
        <w:gridCol w:w="1575"/>
        <w:gridCol w:w="3227"/>
        <w:gridCol w:w="3104"/>
        <w:gridCol w:w="1038"/>
        <w:gridCol w:w="1004"/>
        <w:gridCol w:w="1165"/>
        <w:gridCol w:w="1454"/>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260" w:hRule="atLeast"/>
        </w:trPr>
        <w:tc>
          <w:tcPr>
            <w:tcW w:w="14529" w:type="dxa"/>
            <w:gridSpan w:val="9"/>
            <w:noWrap w:val="0"/>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r>
              <w:rPr>
                <w:rFonts w:hint="default" w:ascii="宋体" w:hAnsi="宋体" w:eastAsia="宋体"/>
                <w:b/>
                <w:i w:val="0"/>
                <w:snapToGrid/>
                <w:color w:val="000000"/>
                <w:sz w:val="48"/>
                <w:u w:val="none"/>
                <w:lang w:eastAsia="zh-CN"/>
              </w:rPr>
              <w:t>随机抽查事项清单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75"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序号</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抽查事项</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检查依据</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检查内容</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检查方式</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适用对象</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抽查比例</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抽查频次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75"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娱乐场所检查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【行政法规】《娱乐场所管理条例》（国务院令第458 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歌舞娱乐场所播放、表演的节目是否含有禁止内容，使用的歌曲点播系统是否连接至境外曲库；歌舞娱乐场所是否接纳未成年人，是否擅自变更场所使用的歌曲点播系统；游艺娱乐场所是否设置未经文化主管部门内容核查的游戏游艺设备，是否擅自变更游戏游艺设备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娱乐场所</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2</w:t>
            </w:r>
            <w:r>
              <w:rPr>
                <w:rFonts w:hint="default" w:ascii="Times New Roman" w:hAnsi="Times New Roman" w:eastAsia="仿宋_GB2312" w:cs="仿宋_GB2312"/>
                <w:sz w:val="20"/>
                <w:szCs w:val="20"/>
                <w:lang w:eastAsia="zh-CN"/>
              </w:rPr>
              <w:t>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艺术品经营活动检查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【部门规章】《艺术品经营管理办法》（文化部令第56号）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是否经营含有禁止内容的艺术品；经营的艺术品是否能够证明合法来源等。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艺术品</w:t>
            </w:r>
            <w:r>
              <w:rPr>
                <w:rFonts w:hint="eastAsia" w:ascii="Times New Roman" w:hAnsi="Times New Roman" w:eastAsia="仿宋_GB2312" w:cs="仿宋_GB2312"/>
                <w:sz w:val="20"/>
                <w:szCs w:val="20"/>
                <w:lang w:val="en-US" w:eastAsia="zh-CN"/>
              </w:rPr>
              <w:t>经营单位</w:t>
            </w:r>
          </w:p>
        </w:tc>
        <w:tc>
          <w:tcPr>
            <w:tcW w:w="116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互联网上网服务营业场所检查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【行政法规】《互联网上网服务营业场所管理条例》（国务院令第363号）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未悬挂《网络文化经营许可证》或未成年人禁入标志；是否未按规定核对、登记有效身份证件或者记录有关上网信息；是否擅自停止实施经营管理技术措施；是否未经规定手续变更名称、住所、法定代表人或主要负责人、网络地址或终止经营活动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互联网上网服务营业场所</w:t>
            </w:r>
          </w:p>
        </w:tc>
        <w:tc>
          <w:tcPr>
            <w:tcW w:w="1165"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2</w:t>
            </w:r>
            <w:r>
              <w:rPr>
                <w:rFonts w:hint="default" w:ascii="Times New Roman" w:hAnsi="Times New Roman" w:eastAsia="仿宋_GB2312" w:cs="仿宋_GB2312"/>
                <w:sz w:val="20"/>
                <w:szCs w:val="20"/>
                <w:lang w:eastAsia="zh-CN"/>
              </w:rPr>
              <w:t>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互联网文化经营单位检查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【部门规章】《互联网文化管理暂行规定》（文化部令51号）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在网站主页的显著位置标明《网络文化经营许可证》编号或备案编号；经营进口、国产互联网文化产品的，是否在网站显著位置标明文化部批准文号、备案编号；是否擅自变更进口互联网文化产品的名称或增删内容；是否提供含有禁止内容或未经批准的互联网文化产品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r>
              <w:rPr>
                <w:rFonts w:hint="eastAsia" w:ascii="Times New Roman" w:hAnsi="Times New Roman" w:eastAsia="仿宋_GB2312" w:cs="仿宋_GB2312"/>
                <w:sz w:val="20"/>
                <w:szCs w:val="20"/>
                <w:lang w:eastAsia="zh-CN"/>
              </w:rPr>
              <w:t>、网络检查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互联网文化经营单位</w:t>
            </w:r>
          </w:p>
        </w:tc>
        <w:tc>
          <w:tcPr>
            <w:tcW w:w="116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文物保护单位检查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【法律】《中华人民共和国文物保护法》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sz w:val="20"/>
                <w:szCs w:val="20"/>
              </w:rPr>
            </w:pPr>
            <w:r>
              <w:rPr>
                <w:rFonts w:hint="eastAsia" w:ascii="Times New Roman" w:hAnsi="Times New Roman" w:eastAsia="仿宋_GB2312" w:cs="仿宋_GB2312"/>
                <w:sz w:val="20"/>
                <w:szCs w:val="20"/>
              </w:rPr>
              <w:t>是否擅自在保护范围内进行工程建设或爆破、钻探、挖掘等作业；是否未经许可在建设控制地带内进行工程建设；是否擅自迁移、拆除、修缮或重建不可移动文物等。</w:t>
            </w:r>
          </w:p>
          <w:p>
            <w:pPr>
              <w:jc w:val="center"/>
              <w:rPr>
                <w:rFonts w:hint="default" w:ascii="Times New Roman" w:hAnsi="Times New Roman" w:eastAsia="仿宋_GB2312" w:cs="仿宋_GB2312"/>
                <w:sz w:val="20"/>
                <w:szCs w:val="20"/>
                <w:lang w:eastAsia="zh-CN"/>
              </w:rPr>
            </w:pP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文物保护单位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文物经营活动检查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【法律】《中华人民共和国文物保护法》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是否未经许可，擅自设立文物商店、经营文物拍卖的拍卖企业，或者擅自从事文物的商业经营活</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rPr>
              <w:t>买卖国家禁止买卖的文物或者将禁止出境的文物转让、出租、质押给外国人</w:t>
            </w:r>
            <w:r>
              <w:rPr>
                <w:rFonts w:hint="eastAsia" w:ascii="Times New Roman" w:hAnsi="Times New Roman" w:eastAsia="仿宋_GB2312" w:cs="仿宋_GB2312"/>
                <w:sz w:val="20"/>
                <w:szCs w:val="20"/>
                <w:lang w:eastAsia="zh-CN"/>
              </w:rPr>
              <w:t>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文物经营活动</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设置卫星地面接收设施单位检查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【部门规章】《&lt;卫星电视广播地面接收设施管理规定&gt;实施细则》（广播电影电视部令第11号）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擅自安装和使用卫星地面接收设施；持有《许可证》的单位是否按规定接收和使用卫星电视节目；是否擅自在车站、码头、机场、商店和影视厅等公共场所播放或以其它方式传播卫星传送的境外电视节目；是否利用卫星地面接收设施接收、传播反动淫秽的卫星电视节目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设置卫星地面接收设施单位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广播电视节目制作传输发射单位检查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【行政法规】《广播电视管理条例》（国务院令第228号)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擅自设立广播电台、电视台、教育电视台、有线广播电视传输覆盖网、广播电视站；擅自设立广播电视节目制作经营单位或者擅自制作电视剧及其他广播电视节目；未经批准，擅自变更台名、台标、节目设置范围或者节目套数；出租、转让播出时段；转播、播放广播电视节目违反规定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广播电视节目制作传输发射单位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电影放映单位检查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【行政法规】《电影管理条例》（国务院令第342号）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放映明知或者应知含有禁止内容的电影片；放映未取得《电影片公映许可证》的电影片；未经批准，擅自改建，拆除电影院或者放映设施等。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电影放映单位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w:t>
            </w:r>
            <w:bookmarkStart w:id="0" w:name="_GoBack"/>
            <w:bookmarkEnd w:id="0"/>
            <w:r>
              <w:rPr>
                <w:rFonts w:hint="default" w:ascii="Times New Roman" w:hAnsi="Times New Roman" w:eastAsia="仿宋_GB2312" w:cs="仿宋_GB2312"/>
                <w:sz w:val="20"/>
                <w:szCs w:val="20"/>
                <w:lang w:eastAsia="zh-CN"/>
              </w:rPr>
              <w:t>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图书、电子音像发行单位</w:t>
            </w:r>
            <w:r>
              <w:rPr>
                <w:rFonts w:hint="eastAsia" w:ascii="Times New Roman" w:hAnsi="Times New Roman" w:eastAsia="仿宋_GB2312" w:cs="仿宋_GB2312"/>
                <w:sz w:val="20"/>
                <w:szCs w:val="20"/>
              </w:rPr>
              <w:t>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【行政法规】《出版管理条例》（国务院令第343号）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在明知或者应知的情况下印刷含有禁止内容的出版物、包装装潢印刷品或者其他印刷品；是否存在超出批准范围的出版行为；是否建立承印验证、承印登记、印刷品保管、印刷品交付和印刷活动残次品销毁制度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图书、电子音像发行单位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w:t>
            </w:r>
            <w:r>
              <w:rPr>
                <w:rFonts w:hint="default" w:ascii="Times New Roman" w:hAnsi="Times New Roman" w:eastAsia="仿宋_GB2312" w:cs="仿宋_GB2312"/>
                <w:sz w:val="20"/>
                <w:szCs w:val="20"/>
                <w:lang w:eastAsia="zh-CN"/>
              </w:rPr>
              <w:t>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印刷品经营单位检查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【行政法规】《印刷业管理条例》（国务院令第315号）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印刷业经营者印刷明知或者应知含有禁止印刷内容的出版物、包装装潢印刷品或者其他印刷品的，或者印刷国家明令禁止出版的出版物或者非出版单位出版的出版物；没有建立承印验证制度、承印登记制度、印刷品保管制度、印刷品交付制度、印刷活动残次品销毁制度。</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印刷企业（含复制单位）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新闻活动监督管理</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sz w:val="20"/>
                <w:szCs w:val="20"/>
              </w:rPr>
            </w:pPr>
            <w:r>
              <w:rPr>
                <w:rFonts w:hint="eastAsia" w:ascii="Times New Roman" w:hAnsi="Times New Roman" w:eastAsia="仿宋_GB2312" w:cs="仿宋_GB2312"/>
                <w:sz w:val="20"/>
                <w:szCs w:val="20"/>
              </w:rPr>
              <w:t>【部门规章】《新闻记者证管理办法》（新闻出版总署令第44号）</w:t>
            </w: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【部门规章】《报刊记者站管理办法》（新闻出版总署令第43号）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社会组织或者个人擅自从事新闻采访活动；报刊出版单位、报刊记者站违规从事相关经营活动；擅自设立报刊记者站或者假冒、盗用报刊记者站名义开展活动。</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rPr>
              <w:t>新闻机构</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新闻记者</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版权管理</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【法律】《中华人民共和国著作权法》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未经著作权人许可，复制、发行、表演、放映、广播、汇编、通过信息网络向公众传播其作品；制作、出售假冒他人署名的作品等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公民、法人、其他组织</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 xml:space="preserve"> A级旅游景区、星级饭店、星级乡村旅游接待点检查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【法律】</w:t>
            </w:r>
            <w:r>
              <w:rPr>
                <w:rFonts w:hint="default" w:ascii="Times New Roman" w:hAnsi="Times New Roman" w:eastAsia="仿宋_GB2312" w:cs="仿宋_GB2312"/>
                <w:sz w:val="20"/>
                <w:szCs w:val="20"/>
                <w:lang w:eastAsia="zh-CN"/>
              </w:rPr>
              <w:t>《中华人民共和国旅游法》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设施和服务是否低于相应的标准</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未取得质量等级的旅游企业是否使用相关质量等级的称谓和标识</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A级旅游景区、星级饭店、星级乡村旅游接待点</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导游和领队检查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【法律】</w:t>
            </w:r>
            <w:r>
              <w:rPr>
                <w:rFonts w:hint="default" w:ascii="Times New Roman" w:hAnsi="Times New Roman" w:eastAsia="仿宋_GB2312" w:cs="仿宋_GB2312"/>
                <w:sz w:val="20"/>
                <w:szCs w:val="20"/>
                <w:lang w:eastAsia="zh-CN"/>
              </w:rPr>
              <w:t>《中华人民共和国旅游法</w:t>
            </w: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部门规章</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《导游管理办法》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服务行为是否合法、规范</w:t>
            </w:r>
            <w:r>
              <w:rPr>
                <w:rFonts w:hint="eastAsia" w:ascii="Times New Roman" w:hAnsi="Times New Roman" w:eastAsia="仿宋_GB2312" w:cs="仿宋_GB2312"/>
                <w:sz w:val="20"/>
                <w:szCs w:val="20"/>
                <w:lang w:eastAsia="zh-CN"/>
              </w:rPr>
              <w:t>；</w:t>
            </w: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导游是否取得导游证，领队是否备案；导游带团是否开启导游执业APP；导游为旅游者提供服务是否接受旅行社委派；是否拒绝、逃避检查，或者欺骗检查人员</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 xml:space="preserve"> </w:t>
            </w: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在导游活动中是否佩带导游身份标识</w:t>
            </w:r>
            <w:r>
              <w:rPr>
                <w:rFonts w:hint="eastAsia" w:ascii="Times New Roman" w:hAnsi="Times New Roman" w:eastAsia="仿宋_GB2312" w:cs="仿宋_GB2312"/>
                <w:sz w:val="20"/>
                <w:szCs w:val="20"/>
                <w:lang w:eastAsia="zh-CN"/>
              </w:rPr>
              <w:t>。</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导游、领队</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sz w:val="20"/>
                <w:szCs w:val="20"/>
                <w:lang w:val="en-US" w:eastAsia="zh-CN"/>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旅行社检查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【法律】</w:t>
            </w:r>
            <w:r>
              <w:rPr>
                <w:rFonts w:hint="default" w:ascii="Times New Roman" w:hAnsi="Times New Roman" w:eastAsia="仿宋_GB2312" w:cs="仿宋_GB2312"/>
                <w:sz w:val="20"/>
                <w:szCs w:val="20"/>
                <w:lang w:eastAsia="zh-CN"/>
              </w:rPr>
              <w:t xml:space="preserve">《中华人民共和国旅游法》  </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行政法规</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《旅行社条例》</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经营旅行社业务是否取得经营、执业许可</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是否与导游等长期聘用人员签订劳动合同，并办理相关社会保险</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是否与旅游者签订旅游合同、提供与合同内容相符的旅游服务</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是否依法经营，有无不合理低价、虚假广告、价格欺诈等不正当竞争行为及损害消费者合法权益的行为</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分支机构的名称、标牌、经营范围等是否符合法律规定</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经营场所、营业设施、注册资本等基础性经营条件是否符合法律规定</w:t>
            </w:r>
            <w:r>
              <w:rPr>
                <w:rFonts w:hint="eastAsia" w:ascii="Times New Roman" w:hAnsi="Times New Roman" w:eastAsia="仿宋_GB2312" w:cs="仿宋_GB2312"/>
                <w:sz w:val="20"/>
                <w:szCs w:val="20"/>
                <w:lang w:eastAsia="zh-CN"/>
              </w:rPr>
              <w:t>。</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旅行社</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bl>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A21E2"/>
    <w:rsid w:val="0A8C63E0"/>
    <w:rsid w:val="0CFA40A0"/>
    <w:rsid w:val="63DA21E2"/>
    <w:rsid w:val="68C3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2019-10-16T03:09:00Z</dcterms:created>
  <dc:creator>Lenovo</dc:creator>
  <cp:lastModifiedBy>Lenovo</cp:lastModifiedBy>
  <dcterms:modified xsi:type="dcterms:W3CDTF">2019-10-17T01:56:25Z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