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900" w:type="dxa"/>
        <w:tblInd w:w="-10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40"/>
        <w:gridCol w:w="1065"/>
        <w:gridCol w:w="1590"/>
        <w:gridCol w:w="1320"/>
        <w:gridCol w:w="2100"/>
        <w:gridCol w:w="2010"/>
        <w:gridCol w:w="1245"/>
        <w:gridCol w:w="1230"/>
        <w:gridCol w:w="4065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5900" w:type="dxa"/>
            <w:gridSpan w:val="10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8"/>
                <w:u w:val="none"/>
                <w:lang w:val="en-US" w:eastAsia="zh-CN"/>
              </w:rPr>
              <w:t>应县文化和旅游局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重大行政执法决定法制审核目录清单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承办机构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审核条件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审核依据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提交的审核材料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重点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行政处罚事项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适用一般程序行政处罚案件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应县文化市场综合行政执法队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对公民处以1万元以上的罚款，对法人或者其他组织处以10万元以上的罚款；没收违法所得或者没收非法财物价值相当于上述规定的数额。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责令停产停业整顿、责令停产停业。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吊销有许可证的。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对发生法律效力的行政执法决定进行纠正，及可能作出行政赔偿或者不予行政赔偿决定的。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行政处罚法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》《出版物市场管理规定》《出版管理条例》《艺术品经营管理办法》《音像制品管理条例》《印刷业管理条例》《营业性演出管理条例》《娱乐场所管理条例》《互联网上网服务营业场所管理条例》《广播电视管理条例》《电影管理条例》《卫星地面接收设施管理规定》《著作权法》《旅游法》《文物法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应县文化和旅游局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 xml:space="preserve">现场检查记录、询问笔录等执法文书；        2、相关证据资料；案件调查终结报告；       3、拟制的行政处罚决定类文书；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4、《重大行政执法决定法制审核申请表》等材料。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（一）行政执法主体是否合法，行政执法人员是否具备执法资格；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（二）当事人的基本情况及违法事实是否查清；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（三）违法事实是否清楚，证据是否确凿、充分，材料是否齐全；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（四）适用法律、法规、规章是否准确，执行裁量基准是否适当；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（五）行政执法决定是否适当；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（六）程序是否合法，是否充分保障行政相对人权利；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 xml:space="preserve"> （七）是否有超越本机关职权范围或滥用职权的情形；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（八）行政执法文书是否规范、齐备；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（九）违法行为是否涉嫌犯罪需要移送司法机关；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（十）其他依法应当审核的事项。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一般情况10个工作日，复杂的可以延长10个工作日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行政强制事项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作出查封、扣押行政强制决定的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应县文化市场综合行政执法队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对涉嫌违法从事出版物出版、印刷或者复制、进口、发行等活动的行为进行查处时，可以检查与涉嫌违法活动有关的物品和经营场所；对有证据证明是与违法活动有关的物品，可以查封或者扣押。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《出版管理条例》第七条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应县文化和旅游局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1、现场检查记录、询问笔录等执法文书；2、相关证据资料；案件调查终结报告；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3、拟制的查封扣押类文书；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4、《重大行政执法决定法制审核申请表》等材料。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（一）行政执法机关主体是否合法，行政执法人员是否具备执法资格；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（二）主要事实是否清楚，证据是否确凿、充分；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（三）适用法律、法规、规章是否准确；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 xml:space="preserve">（四）是否符合采取强制措施的条件，程序是否合法，是否充分保障行政相对人权利；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（五）是否有超越本机关职权范围或滥用职权的情形；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（六）行政执法文书是否规范、齐备；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（七）其他依法应当审核的事项。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申请人民法院强制执行。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应县文化市场综合行政执法队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应县文化和旅游局</w:t>
            </w:r>
            <w:bookmarkStart w:id="0" w:name="_GoBack"/>
            <w:bookmarkEnd w:id="0"/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1、行政决定书及作出决定的事实、理由和依据；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2、当事人的意见及行政机关催告情况说明；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3、申请强制执行标的情况说明；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4、拟制的强制执行申请书；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5、《重大行政执法决定法制审核申请表》等材料。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 xml:space="preserve">（一）在法定期限内，当事人是否已申请行政复议或者提起行政诉讼；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 xml:space="preserve">（二）是否已按规定时限下达《行政强制执行事先催告书》；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（三）是否有查封、扣押的财物可依法拍卖抵缴罚款；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（四）申请强制执行是否符合其它法定条件。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 xml:space="preserve"> （五）其他依法应当审核的事项。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F12C0"/>
    <w:rsid w:val="056D46AD"/>
    <w:rsid w:val="06BF12C0"/>
    <w:rsid w:val="11574BFA"/>
    <w:rsid w:val="35FA3F44"/>
    <w:rsid w:val="39E76CDA"/>
    <w:rsid w:val="534771CD"/>
    <w:rsid w:val="6D586EC6"/>
    <w:rsid w:val="7B374CF6"/>
    <w:rsid w:val="7B7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2019-08-30T01:39:00Z</dcterms:created>
  <dc:creator>Lenovo</dc:creator>
  <cp:lastModifiedBy>Administrator</cp:lastModifiedBy>
  <dcterms:modified xsi:type="dcterms:W3CDTF">2019-10-31T01:37:56Z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